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2D19B" w14:textId="620A28EA" w:rsidR="00D529A4" w:rsidRDefault="00D529A4" w:rsidP="00D529A4">
      <w:pPr>
        <w:tabs>
          <w:tab w:val="left" w:pos="1008"/>
        </w:tabs>
        <w:jc w:val="center"/>
        <w:rPr>
          <w:rFonts w:ascii="Century Gothic" w:hAnsi="Century Gothic"/>
          <w:sz w:val="28"/>
          <w:szCs w:val="28"/>
        </w:rPr>
      </w:pPr>
      <w:bookmarkStart w:id="0" w:name="_GoBack"/>
      <w:bookmarkEnd w:id="0"/>
      <w:r w:rsidRPr="00781E6E">
        <w:rPr>
          <w:rFonts w:ascii="Century Gothic" w:eastAsia="Calibri" w:hAnsi="Century Gothic"/>
          <w:noProof/>
          <w:color w:val="00000A"/>
          <w:sz w:val="28"/>
          <w:szCs w:val="28"/>
          <w:lang w:val="en-GB" w:eastAsia="en-GB"/>
        </w:rPr>
        <w:drawing>
          <wp:inline distT="0" distB="0" distL="0" distR="0" wp14:anchorId="0311D271" wp14:editId="218EBF21">
            <wp:extent cx="970969" cy="861614"/>
            <wp:effectExtent l="19050" t="0" r="19685" b="281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8026" cy="876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F0BF8B8" w14:textId="38F13A42" w:rsidR="00FE3D04" w:rsidRDefault="00A457BC" w:rsidP="00C75135">
      <w:pPr>
        <w:jc w:val="center"/>
        <w:rPr>
          <w:rFonts w:ascii="Century Gothic" w:hAnsi="Century Gothic" w:cs="Tahoma"/>
          <w:b/>
          <w:sz w:val="28"/>
          <w:szCs w:val="28"/>
        </w:rPr>
      </w:pPr>
      <w:r>
        <w:rPr>
          <w:rFonts w:ascii="Century Gothic" w:hAnsi="Century Gothic" w:cs="Tahoma"/>
          <w:b/>
          <w:sz w:val="28"/>
          <w:szCs w:val="28"/>
        </w:rPr>
        <w:t>B</w:t>
      </w:r>
      <w:r w:rsidR="00FE3D04" w:rsidRPr="00FE3D04">
        <w:rPr>
          <w:rFonts w:ascii="Century Gothic" w:hAnsi="Century Gothic" w:cs="Tahoma"/>
          <w:b/>
          <w:sz w:val="28"/>
          <w:szCs w:val="28"/>
        </w:rPr>
        <w:t>ACK TO OFFICE REPORT</w:t>
      </w:r>
    </w:p>
    <w:p w14:paraId="662B24B8" w14:textId="78B67645" w:rsidR="00552EE7" w:rsidRPr="00FE3D04" w:rsidRDefault="004C02FE" w:rsidP="00C75135">
      <w:pPr>
        <w:tabs>
          <w:tab w:val="left" w:pos="1008"/>
        </w:tabs>
        <w:jc w:val="center"/>
        <w:rPr>
          <w:rFonts w:ascii="Century Gothic" w:hAnsi="Century Gothic"/>
          <w:b/>
          <w:sz w:val="28"/>
          <w:szCs w:val="28"/>
        </w:rPr>
      </w:pPr>
      <w:r w:rsidRPr="004C02FE">
        <w:rPr>
          <w:rFonts w:ascii="Century Gothic" w:hAnsi="Century Gothic"/>
          <w:b/>
          <w:sz w:val="28"/>
          <w:szCs w:val="28"/>
        </w:rPr>
        <w:t>2024 United Nations Biodiversity Conference</w:t>
      </w:r>
    </w:p>
    <w:p w14:paraId="46B1B327" w14:textId="77777777" w:rsidR="00A457BC" w:rsidRDefault="00A457BC" w:rsidP="00D22539">
      <w:pPr>
        <w:tabs>
          <w:tab w:val="left" w:pos="1008"/>
        </w:tabs>
        <w:rPr>
          <w:rFonts w:ascii="Century Gothic" w:hAnsi="Century Gothic"/>
          <w:b/>
          <w:bCs/>
          <w:sz w:val="22"/>
          <w:szCs w:val="22"/>
        </w:rPr>
      </w:pPr>
    </w:p>
    <w:p w14:paraId="2A32B9C2" w14:textId="5AEBFB65" w:rsidR="00A457BC" w:rsidRDefault="00133015" w:rsidP="004C294A">
      <w:pPr>
        <w:tabs>
          <w:tab w:val="left" w:pos="1008"/>
        </w:tabs>
        <w:jc w:val="center"/>
        <w:rPr>
          <w:rFonts w:ascii="Century Gothic" w:hAnsi="Century Gothic"/>
          <w:b/>
          <w:bCs/>
          <w:sz w:val="22"/>
          <w:szCs w:val="22"/>
        </w:rPr>
      </w:pPr>
      <w:r>
        <w:rPr>
          <w:rFonts w:ascii="Century Gothic" w:hAnsi="Century Gothic"/>
          <w:b/>
          <w:bCs/>
          <w:noProof/>
          <w:sz w:val="22"/>
          <w:szCs w:val="22"/>
          <w:lang w:val="en-GB" w:eastAsia="en-GB"/>
        </w:rPr>
        <w:drawing>
          <wp:inline distT="0" distB="0" distL="0" distR="0" wp14:anchorId="2A183B0B" wp14:editId="58FCAB9D">
            <wp:extent cx="3743325" cy="2495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16A.jpg"/>
                    <pic:cNvPicPr/>
                  </pic:nvPicPr>
                  <pic:blipFill>
                    <a:blip r:embed="rId9">
                      <a:extLst>
                        <a:ext uri="{28A0092B-C50C-407E-A947-70E740481C1C}">
                          <a14:useLocalDpi xmlns:a14="http://schemas.microsoft.com/office/drawing/2010/main" val="0"/>
                        </a:ext>
                      </a:extLst>
                    </a:blip>
                    <a:stretch>
                      <a:fillRect/>
                    </a:stretch>
                  </pic:blipFill>
                  <pic:spPr>
                    <a:xfrm>
                      <a:off x="0" y="0"/>
                      <a:ext cx="3743976" cy="2495984"/>
                    </a:xfrm>
                    <a:prstGeom prst="rect">
                      <a:avLst/>
                    </a:prstGeom>
                  </pic:spPr>
                </pic:pic>
              </a:graphicData>
            </a:graphic>
          </wp:inline>
        </w:drawing>
      </w:r>
    </w:p>
    <w:p w14:paraId="00D2862A" w14:textId="464788C4" w:rsidR="004C294A" w:rsidRPr="004C294A" w:rsidRDefault="004C294A" w:rsidP="004C294A">
      <w:pPr>
        <w:tabs>
          <w:tab w:val="left" w:pos="1008"/>
        </w:tabs>
        <w:jc w:val="center"/>
        <w:rPr>
          <w:rFonts w:ascii="Century Gothic" w:hAnsi="Century Gothic"/>
          <w:b/>
          <w:bCs/>
          <w:sz w:val="20"/>
          <w:szCs w:val="20"/>
        </w:rPr>
      </w:pPr>
      <w:r w:rsidRPr="004C294A">
        <w:rPr>
          <w:rFonts w:ascii="Century Gothic" w:hAnsi="Century Gothic"/>
          <w:b/>
          <w:bCs/>
          <w:sz w:val="20"/>
          <w:szCs w:val="20"/>
        </w:rPr>
        <w:t xml:space="preserve">Joseph Masinde (CHM Desk) presents the </w:t>
      </w:r>
      <w:r w:rsidR="00C75135">
        <w:rPr>
          <w:rFonts w:ascii="Century Gothic" w:hAnsi="Century Gothic"/>
          <w:b/>
          <w:bCs/>
          <w:sz w:val="20"/>
          <w:szCs w:val="20"/>
        </w:rPr>
        <w:t xml:space="preserve">Clearing House Mechanism (CHM) Award </w:t>
      </w:r>
      <w:r w:rsidRPr="004C294A">
        <w:rPr>
          <w:rFonts w:ascii="Century Gothic" w:hAnsi="Century Gothic"/>
          <w:b/>
          <w:bCs/>
          <w:sz w:val="20"/>
          <w:szCs w:val="20"/>
        </w:rPr>
        <w:t>Certificate of Recognition to the Director General NEMA</w:t>
      </w:r>
    </w:p>
    <w:p w14:paraId="38469CE2" w14:textId="77777777" w:rsidR="004C294A" w:rsidRPr="004C294A" w:rsidRDefault="004C294A" w:rsidP="004C294A">
      <w:pPr>
        <w:tabs>
          <w:tab w:val="left" w:pos="1008"/>
        </w:tabs>
        <w:jc w:val="center"/>
        <w:rPr>
          <w:rFonts w:ascii="Century Gothic" w:hAnsi="Century Gothic"/>
          <w:b/>
          <w:bCs/>
          <w:sz w:val="20"/>
          <w:szCs w:val="20"/>
        </w:rPr>
      </w:pPr>
    </w:p>
    <w:p w14:paraId="18299FC0" w14:textId="1535A652" w:rsidR="004C294A" w:rsidRDefault="004C294A" w:rsidP="004C294A">
      <w:pPr>
        <w:tabs>
          <w:tab w:val="left" w:pos="1008"/>
        </w:tabs>
        <w:jc w:val="center"/>
        <w:rPr>
          <w:rFonts w:ascii="Century Gothic" w:hAnsi="Century Gothic"/>
          <w:b/>
          <w:bCs/>
          <w:sz w:val="22"/>
          <w:szCs w:val="22"/>
        </w:rPr>
      </w:pPr>
      <w:r w:rsidRPr="004C294A">
        <w:rPr>
          <w:rFonts w:ascii="Century Gothic" w:hAnsi="Century Gothic"/>
          <w:b/>
          <w:bCs/>
          <w:sz w:val="22"/>
          <w:szCs w:val="22"/>
        </w:rPr>
        <w:t>Kenya's recognition with a Certificate of Recognition underscores its dedication to promoting biodiversity data-sharing via its national CHM designated at NEMA</w:t>
      </w:r>
    </w:p>
    <w:p w14:paraId="770D121A" w14:textId="77777777" w:rsidR="00A457BC" w:rsidRDefault="00A457BC" w:rsidP="00D22539">
      <w:pPr>
        <w:tabs>
          <w:tab w:val="left" w:pos="1008"/>
        </w:tabs>
        <w:rPr>
          <w:rFonts w:ascii="Century Gothic" w:hAnsi="Century Gothic"/>
          <w:b/>
          <w:bCs/>
          <w:sz w:val="22"/>
          <w:szCs w:val="22"/>
        </w:rPr>
      </w:pPr>
    </w:p>
    <w:p w14:paraId="66B4F361" w14:textId="77777777" w:rsidR="00D22539" w:rsidRPr="00C75135" w:rsidRDefault="00D22539" w:rsidP="00D22539">
      <w:pPr>
        <w:tabs>
          <w:tab w:val="left" w:pos="1008"/>
        </w:tabs>
        <w:rPr>
          <w:rFonts w:ascii="Century Gothic" w:hAnsi="Century Gothic"/>
          <w:b/>
          <w:bCs/>
          <w:sz w:val="18"/>
          <w:szCs w:val="18"/>
        </w:rPr>
      </w:pPr>
      <w:r w:rsidRPr="00C75135">
        <w:rPr>
          <w:rFonts w:ascii="Century Gothic" w:hAnsi="Century Gothic"/>
          <w:b/>
          <w:bCs/>
          <w:sz w:val="18"/>
          <w:szCs w:val="18"/>
        </w:rPr>
        <w:t>THE 5th MEETING OF THE SUBSIDIARY BODY ON IMPLEMENTATION (SBI 5) TO HELD ON 16TH TO 18TH OCTBOER, 2024; 11th MEETING OF THE CONFERENCE OF THE PARTIES SERVING AS THE MEETING OF THE PARTIES TO THE CARTAGENA PROTOCOL ON BIOSAFETY, 5th MEETING OF THE CONFERENCE OF THE PARTIES SERVING AS THE MEETING OF THE PARTIES TO THE NAGOYA PROTOCOL ON ACCESS TO GENETIC RESOURCES AND THE FAIR AND EQUITABLE SHARING OF BENEFITS ARISING FROM THEIR UTILIZATION, 16th MEETING OF THE CONFERENCE OF THE PARTIES TO THE CONVENTION ON BIOLOGICAL DIVERSITY CONFERENCE OF PARTIES (COP16)</w:t>
      </w:r>
    </w:p>
    <w:p w14:paraId="46E9BA1D" w14:textId="77777777" w:rsidR="00D22539" w:rsidRPr="00C75135" w:rsidRDefault="00D22539" w:rsidP="00D22539">
      <w:pPr>
        <w:tabs>
          <w:tab w:val="left" w:pos="1008"/>
        </w:tabs>
        <w:rPr>
          <w:rFonts w:ascii="Century Gothic" w:hAnsi="Century Gothic"/>
          <w:b/>
          <w:bCs/>
          <w:sz w:val="18"/>
          <w:szCs w:val="18"/>
        </w:rPr>
      </w:pPr>
    </w:p>
    <w:p w14:paraId="0F95B744" w14:textId="77777777" w:rsidR="00D22539" w:rsidRPr="00A457BC" w:rsidRDefault="00D22539" w:rsidP="00D22539">
      <w:pPr>
        <w:tabs>
          <w:tab w:val="left" w:pos="1008"/>
        </w:tabs>
        <w:rPr>
          <w:rFonts w:ascii="Century Gothic" w:hAnsi="Century Gothic"/>
          <w:b/>
          <w:bCs/>
          <w:sz w:val="22"/>
          <w:szCs w:val="22"/>
        </w:rPr>
      </w:pPr>
      <w:r w:rsidRPr="00A457BC">
        <w:rPr>
          <w:rFonts w:ascii="Century Gothic" w:hAnsi="Century Gothic"/>
          <w:b/>
          <w:bCs/>
          <w:sz w:val="22"/>
          <w:szCs w:val="22"/>
        </w:rPr>
        <w:t>16TH OCTOBER TO 1ST NOVEMBER 2024,</w:t>
      </w:r>
    </w:p>
    <w:p w14:paraId="1F5CD2B5" w14:textId="7DA45F2D" w:rsidR="00552EE7" w:rsidRDefault="00D22539" w:rsidP="00D22539">
      <w:pPr>
        <w:tabs>
          <w:tab w:val="left" w:pos="1008"/>
        </w:tabs>
        <w:rPr>
          <w:rFonts w:ascii="Century Gothic" w:hAnsi="Century Gothic"/>
          <w:b/>
          <w:bCs/>
          <w:sz w:val="22"/>
          <w:szCs w:val="22"/>
        </w:rPr>
      </w:pPr>
      <w:r w:rsidRPr="00A457BC">
        <w:rPr>
          <w:rFonts w:ascii="Century Gothic" w:hAnsi="Century Gothic"/>
          <w:b/>
          <w:bCs/>
          <w:sz w:val="22"/>
          <w:szCs w:val="22"/>
        </w:rPr>
        <w:t>CALI, COLOMBIA</w:t>
      </w:r>
    </w:p>
    <w:p w14:paraId="463A5BE6" w14:textId="77777777" w:rsidR="004C294A" w:rsidRDefault="00A457BC" w:rsidP="00D22539">
      <w:pPr>
        <w:tabs>
          <w:tab w:val="left" w:pos="1008"/>
        </w:tabs>
        <w:rPr>
          <w:rFonts w:ascii="Century Gothic" w:hAnsi="Century Gothic"/>
          <w:b/>
          <w:bCs/>
          <w:sz w:val="22"/>
          <w:szCs w:val="22"/>
        </w:rPr>
      </w:pPr>
      <w:r>
        <w:rPr>
          <w:rFonts w:ascii="Century Gothic" w:hAnsi="Century Gothic"/>
          <w:b/>
          <w:bCs/>
          <w:sz w:val="22"/>
          <w:szCs w:val="22"/>
        </w:rPr>
        <w:t xml:space="preserve">By Joseph Masinde </w:t>
      </w:r>
    </w:p>
    <w:p w14:paraId="4B7C6C5A" w14:textId="47E464AA" w:rsidR="00A457BC" w:rsidRDefault="00A457BC" w:rsidP="00D22539">
      <w:pPr>
        <w:tabs>
          <w:tab w:val="left" w:pos="1008"/>
        </w:tabs>
        <w:rPr>
          <w:rFonts w:ascii="Century Gothic" w:hAnsi="Century Gothic"/>
          <w:b/>
          <w:bCs/>
          <w:sz w:val="22"/>
          <w:szCs w:val="22"/>
        </w:rPr>
      </w:pPr>
      <w:r>
        <w:rPr>
          <w:rFonts w:ascii="Century Gothic" w:hAnsi="Century Gothic"/>
          <w:b/>
          <w:bCs/>
          <w:sz w:val="22"/>
          <w:szCs w:val="22"/>
        </w:rPr>
        <w:t>Senior Environmental Education Information Officer</w:t>
      </w:r>
    </w:p>
    <w:p w14:paraId="142EE122" w14:textId="4F68C175" w:rsidR="004C294A" w:rsidRDefault="004C294A" w:rsidP="00D22539">
      <w:pPr>
        <w:tabs>
          <w:tab w:val="left" w:pos="1008"/>
        </w:tabs>
        <w:rPr>
          <w:rFonts w:ascii="Century Gothic" w:hAnsi="Century Gothic"/>
          <w:b/>
          <w:bCs/>
          <w:sz w:val="22"/>
          <w:szCs w:val="22"/>
        </w:rPr>
      </w:pPr>
      <w:r>
        <w:rPr>
          <w:rFonts w:ascii="Century Gothic" w:hAnsi="Century Gothic"/>
          <w:b/>
          <w:bCs/>
          <w:sz w:val="22"/>
          <w:szCs w:val="22"/>
        </w:rPr>
        <w:t>National CHM Desk</w:t>
      </w:r>
    </w:p>
    <w:p w14:paraId="562D65EB" w14:textId="00C0F7D1" w:rsidR="00A457BC" w:rsidRPr="00A457BC" w:rsidRDefault="00A457BC" w:rsidP="00D22539">
      <w:pPr>
        <w:tabs>
          <w:tab w:val="left" w:pos="1008"/>
        </w:tabs>
        <w:rPr>
          <w:rFonts w:ascii="Century Gothic" w:hAnsi="Century Gothic"/>
          <w:b/>
          <w:bCs/>
          <w:sz w:val="22"/>
          <w:szCs w:val="22"/>
        </w:rPr>
      </w:pPr>
      <w:r>
        <w:rPr>
          <w:rFonts w:ascii="Century Gothic" w:hAnsi="Century Gothic"/>
          <w:b/>
          <w:bCs/>
          <w:sz w:val="22"/>
          <w:szCs w:val="22"/>
        </w:rPr>
        <w:t>National Environment Management Authority</w:t>
      </w:r>
    </w:p>
    <w:p w14:paraId="31DADBB2" w14:textId="77777777" w:rsidR="00D359DB" w:rsidRPr="00A457BC" w:rsidRDefault="00D359DB" w:rsidP="00D22539">
      <w:pPr>
        <w:tabs>
          <w:tab w:val="left" w:pos="1008"/>
        </w:tabs>
        <w:rPr>
          <w:rFonts w:ascii="Century Gothic" w:hAnsi="Century Gothic"/>
          <w:b/>
          <w:bCs/>
          <w:sz w:val="22"/>
          <w:szCs w:val="22"/>
        </w:rPr>
      </w:pPr>
    </w:p>
    <w:p w14:paraId="17C7D841" w14:textId="3BE0C593" w:rsidR="00552EE7" w:rsidRDefault="00D359DB" w:rsidP="00C75135">
      <w:pPr>
        <w:tabs>
          <w:tab w:val="left" w:pos="1008"/>
        </w:tabs>
        <w:rPr>
          <w:rFonts w:ascii="Century Gothic" w:hAnsi="Century Gothic"/>
          <w:b/>
          <w:bCs/>
          <w:sz w:val="28"/>
          <w:szCs w:val="28"/>
        </w:rPr>
      </w:pPr>
      <w:r>
        <w:rPr>
          <w:rFonts w:ascii="Century Gothic" w:hAnsi="Century Gothic"/>
          <w:b/>
          <w:bCs/>
          <w:noProof/>
          <w:sz w:val="28"/>
          <w:szCs w:val="28"/>
          <w:lang w:val="en-GB" w:eastAsia="en-GB"/>
        </w:rPr>
        <w:drawing>
          <wp:inline distT="0" distB="0" distL="0" distR="0" wp14:anchorId="07CE62FA" wp14:editId="1CE6EEA0">
            <wp:extent cx="581025" cy="69938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ma logo.png"/>
                    <pic:cNvPicPr/>
                  </pic:nvPicPr>
                  <pic:blipFill>
                    <a:blip r:embed="rId10">
                      <a:extLst>
                        <a:ext uri="{28A0092B-C50C-407E-A947-70E740481C1C}">
                          <a14:useLocalDpi xmlns:a14="http://schemas.microsoft.com/office/drawing/2010/main" val="0"/>
                        </a:ext>
                      </a:extLst>
                    </a:blip>
                    <a:stretch>
                      <a:fillRect/>
                    </a:stretch>
                  </pic:blipFill>
                  <pic:spPr>
                    <a:xfrm>
                      <a:off x="0" y="0"/>
                      <a:ext cx="586471" cy="705937"/>
                    </a:xfrm>
                    <a:prstGeom prst="rect">
                      <a:avLst/>
                    </a:prstGeom>
                  </pic:spPr>
                </pic:pic>
              </a:graphicData>
            </a:graphic>
          </wp:inline>
        </w:drawing>
      </w:r>
      <w:r w:rsidR="00C75135">
        <w:rPr>
          <w:rFonts w:ascii="Century Gothic" w:hAnsi="Century Gothic"/>
          <w:b/>
          <w:bCs/>
          <w:sz w:val="28"/>
          <w:szCs w:val="28"/>
        </w:rPr>
        <w:tab/>
      </w:r>
      <w:r w:rsidR="00C75135">
        <w:rPr>
          <w:rFonts w:ascii="Century Gothic" w:hAnsi="Century Gothic"/>
          <w:b/>
          <w:bCs/>
          <w:sz w:val="28"/>
          <w:szCs w:val="28"/>
        </w:rPr>
        <w:tab/>
      </w:r>
      <w:r w:rsidR="00C75135">
        <w:rPr>
          <w:rFonts w:ascii="Century Gothic" w:hAnsi="Century Gothic"/>
          <w:b/>
          <w:bCs/>
          <w:sz w:val="28"/>
          <w:szCs w:val="28"/>
        </w:rPr>
        <w:tab/>
      </w:r>
      <w:r w:rsidR="00C75135">
        <w:rPr>
          <w:rFonts w:ascii="Century Gothic" w:hAnsi="Century Gothic"/>
          <w:b/>
          <w:bCs/>
          <w:sz w:val="28"/>
          <w:szCs w:val="28"/>
        </w:rPr>
        <w:tab/>
      </w:r>
      <w:r w:rsidR="00C75135">
        <w:rPr>
          <w:rFonts w:ascii="Century Gothic" w:hAnsi="Century Gothic"/>
          <w:b/>
          <w:bCs/>
          <w:sz w:val="28"/>
          <w:szCs w:val="28"/>
        </w:rPr>
        <w:tab/>
      </w:r>
      <w:r w:rsidR="00C75135">
        <w:rPr>
          <w:rFonts w:ascii="Century Gothic" w:hAnsi="Century Gothic"/>
          <w:b/>
          <w:bCs/>
          <w:sz w:val="28"/>
          <w:szCs w:val="28"/>
        </w:rPr>
        <w:tab/>
      </w:r>
      <w:r w:rsidR="00A457BC">
        <w:rPr>
          <w:rFonts w:ascii="Century Gothic" w:hAnsi="Century Gothic"/>
          <w:b/>
          <w:bCs/>
          <w:noProof/>
          <w:sz w:val="28"/>
          <w:szCs w:val="28"/>
          <w:lang w:val="en-GB" w:eastAsia="en-GB"/>
        </w:rPr>
        <w:drawing>
          <wp:inline distT="0" distB="0" distL="0" distR="0" wp14:anchorId="05AE39DB" wp14:editId="18EF1294">
            <wp:extent cx="1714500" cy="39510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D_logo_EN-1024x23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4372" cy="399684"/>
                    </a:xfrm>
                    <a:prstGeom prst="rect">
                      <a:avLst/>
                    </a:prstGeom>
                  </pic:spPr>
                </pic:pic>
              </a:graphicData>
            </a:graphic>
          </wp:inline>
        </w:drawing>
      </w:r>
      <w:r w:rsidR="00A457BC">
        <w:rPr>
          <w:rFonts w:ascii="Century Gothic" w:hAnsi="Century Gothic"/>
          <w:b/>
          <w:bCs/>
          <w:noProof/>
          <w:sz w:val="28"/>
          <w:szCs w:val="28"/>
          <w:lang w:val="en-GB" w:eastAsia="en-GB"/>
        </w:rPr>
        <w:drawing>
          <wp:inline distT="0" distB="0" distL="0" distR="0" wp14:anchorId="3FC8FFE6" wp14:editId="1D0DF213">
            <wp:extent cx="1133475" cy="6088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belgium.png"/>
                    <pic:cNvPicPr/>
                  </pic:nvPicPr>
                  <pic:blipFill>
                    <a:blip r:embed="rId12">
                      <a:extLst>
                        <a:ext uri="{28A0092B-C50C-407E-A947-70E740481C1C}">
                          <a14:useLocalDpi xmlns:a14="http://schemas.microsoft.com/office/drawing/2010/main" val="0"/>
                        </a:ext>
                      </a:extLst>
                    </a:blip>
                    <a:stretch>
                      <a:fillRect/>
                    </a:stretch>
                  </pic:blipFill>
                  <pic:spPr>
                    <a:xfrm>
                      <a:off x="0" y="0"/>
                      <a:ext cx="1155148" cy="620451"/>
                    </a:xfrm>
                    <a:prstGeom prst="rect">
                      <a:avLst/>
                    </a:prstGeom>
                  </pic:spPr>
                </pic:pic>
              </a:graphicData>
            </a:graphic>
          </wp:inline>
        </w:drawing>
      </w:r>
    </w:p>
    <w:sdt>
      <w:sdtPr>
        <w:rPr>
          <w:rFonts w:ascii="Times New Roman" w:eastAsia="Times New Roman" w:hAnsi="Times New Roman" w:cs="Times New Roman"/>
          <w:color w:val="auto"/>
          <w:sz w:val="24"/>
          <w:szCs w:val="24"/>
        </w:rPr>
        <w:id w:val="274133320"/>
        <w:docPartObj>
          <w:docPartGallery w:val="Table of Contents"/>
          <w:docPartUnique/>
        </w:docPartObj>
      </w:sdtPr>
      <w:sdtEndPr>
        <w:rPr>
          <w:b/>
          <w:bCs/>
          <w:noProof/>
        </w:rPr>
      </w:sdtEndPr>
      <w:sdtContent>
        <w:p w14:paraId="04BFCD45" w14:textId="23717B40" w:rsidR="00F93888" w:rsidRDefault="00F93888">
          <w:pPr>
            <w:pStyle w:val="TOCHeading"/>
          </w:pPr>
          <w:r>
            <w:t>Contents</w:t>
          </w:r>
        </w:p>
        <w:p w14:paraId="7181C3AC" w14:textId="77777777" w:rsidR="00914AE4" w:rsidRDefault="00F93888">
          <w:pPr>
            <w:pStyle w:val="TOC1"/>
            <w:tabs>
              <w:tab w:val="right" w:leader="dot" w:pos="9350"/>
            </w:tabs>
            <w:rPr>
              <w:rFonts w:asciiTheme="minorHAnsi" w:eastAsiaTheme="minorEastAsia" w:hAnsiTheme="minorHAnsi" w:cstheme="minorBid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87242792" w:history="1">
            <w:r w:rsidR="00914AE4" w:rsidRPr="009870C1">
              <w:rPr>
                <w:rStyle w:val="Hyperlink"/>
                <w:noProof/>
              </w:rPr>
              <w:t>Introduction and Acknowledgment</w:t>
            </w:r>
            <w:r w:rsidR="00914AE4">
              <w:rPr>
                <w:noProof/>
                <w:webHidden/>
              </w:rPr>
              <w:tab/>
            </w:r>
            <w:r w:rsidR="00914AE4">
              <w:rPr>
                <w:noProof/>
                <w:webHidden/>
              </w:rPr>
              <w:fldChar w:fldCharType="begin"/>
            </w:r>
            <w:r w:rsidR="00914AE4">
              <w:rPr>
                <w:noProof/>
                <w:webHidden/>
              </w:rPr>
              <w:instrText xml:space="preserve"> PAGEREF _Toc187242792 \h </w:instrText>
            </w:r>
            <w:r w:rsidR="00914AE4">
              <w:rPr>
                <w:noProof/>
                <w:webHidden/>
              </w:rPr>
            </w:r>
            <w:r w:rsidR="00914AE4">
              <w:rPr>
                <w:noProof/>
                <w:webHidden/>
              </w:rPr>
              <w:fldChar w:fldCharType="separate"/>
            </w:r>
            <w:r w:rsidR="0045669D">
              <w:rPr>
                <w:noProof/>
                <w:webHidden/>
              </w:rPr>
              <w:t>3</w:t>
            </w:r>
            <w:r w:rsidR="00914AE4">
              <w:rPr>
                <w:noProof/>
                <w:webHidden/>
              </w:rPr>
              <w:fldChar w:fldCharType="end"/>
            </w:r>
          </w:hyperlink>
        </w:p>
        <w:p w14:paraId="1A3C89E9" w14:textId="77777777" w:rsidR="00914AE4" w:rsidRDefault="00D50C4A">
          <w:pPr>
            <w:pStyle w:val="TOC1"/>
            <w:tabs>
              <w:tab w:val="right" w:leader="dot" w:pos="9350"/>
            </w:tabs>
            <w:rPr>
              <w:rFonts w:asciiTheme="minorHAnsi" w:eastAsiaTheme="minorEastAsia" w:hAnsiTheme="minorHAnsi" w:cstheme="minorBidi"/>
              <w:noProof/>
              <w:sz w:val="22"/>
              <w:szCs w:val="22"/>
              <w:lang w:val="en-GB" w:eastAsia="en-GB"/>
            </w:rPr>
          </w:pPr>
          <w:hyperlink w:anchor="_Toc187242793" w:history="1">
            <w:r w:rsidR="00914AE4" w:rsidRPr="009870C1">
              <w:rPr>
                <w:rStyle w:val="Hyperlink"/>
                <w:b/>
                <w:noProof/>
              </w:rPr>
              <w:t>Substantive Agenda Items for COP16</w:t>
            </w:r>
            <w:r w:rsidR="00914AE4">
              <w:rPr>
                <w:noProof/>
                <w:webHidden/>
              </w:rPr>
              <w:tab/>
            </w:r>
            <w:r w:rsidR="00914AE4">
              <w:rPr>
                <w:noProof/>
                <w:webHidden/>
              </w:rPr>
              <w:fldChar w:fldCharType="begin"/>
            </w:r>
            <w:r w:rsidR="00914AE4">
              <w:rPr>
                <w:noProof/>
                <w:webHidden/>
              </w:rPr>
              <w:instrText xml:space="preserve"> PAGEREF _Toc187242793 \h </w:instrText>
            </w:r>
            <w:r w:rsidR="00914AE4">
              <w:rPr>
                <w:noProof/>
                <w:webHidden/>
              </w:rPr>
            </w:r>
            <w:r w:rsidR="00914AE4">
              <w:rPr>
                <w:noProof/>
                <w:webHidden/>
              </w:rPr>
              <w:fldChar w:fldCharType="separate"/>
            </w:r>
            <w:r w:rsidR="0045669D">
              <w:rPr>
                <w:noProof/>
                <w:webHidden/>
              </w:rPr>
              <w:t>4</w:t>
            </w:r>
            <w:r w:rsidR="00914AE4">
              <w:rPr>
                <w:noProof/>
                <w:webHidden/>
              </w:rPr>
              <w:fldChar w:fldCharType="end"/>
            </w:r>
          </w:hyperlink>
        </w:p>
        <w:p w14:paraId="1F835CD4" w14:textId="77777777" w:rsidR="00914AE4" w:rsidRDefault="00D50C4A">
          <w:pPr>
            <w:pStyle w:val="TOC2"/>
            <w:tabs>
              <w:tab w:val="right" w:leader="dot" w:pos="9350"/>
            </w:tabs>
            <w:rPr>
              <w:rFonts w:asciiTheme="minorHAnsi" w:eastAsiaTheme="minorEastAsia" w:hAnsiTheme="minorHAnsi" w:cstheme="minorBidi"/>
              <w:noProof/>
              <w:sz w:val="22"/>
              <w:szCs w:val="22"/>
              <w:lang w:val="en-GB" w:eastAsia="en-GB"/>
            </w:rPr>
          </w:pPr>
          <w:hyperlink w:anchor="_Toc187242794" w:history="1">
            <w:r w:rsidR="00914AE4" w:rsidRPr="009870C1">
              <w:rPr>
                <w:rStyle w:val="Hyperlink"/>
                <w:b/>
                <w:noProof/>
              </w:rPr>
              <w:t>Item 10 :Mechanisms for planning, monitoring, reporting and review</w:t>
            </w:r>
            <w:r w:rsidR="00914AE4">
              <w:rPr>
                <w:noProof/>
                <w:webHidden/>
              </w:rPr>
              <w:tab/>
            </w:r>
            <w:r w:rsidR="00914AE4">
              <w:rPr>
                <w:noProof/>
                <w:webHidden/>
              </w:rPr>
              <w:fldChar w:fldCharType="begin"/>
            </w:r>
            <w:r w:rsidR="00914AE4">
              <w:rPr>
                <w:noProof/>
                <w:webHidden/>
              </w:rPr>
              <w:instrText xml:space="preserve"> PAGEREF _Toc187242794 \h </w:instrText>
            </w:r>
            <w:r w:rsidR="00914AE4">
              <w:rPr>
                <w:noProof/>
                <w:webHidden/>
              </w:rPr>
            </w:r>
            <w:r w:rsidR="00914AE4">
              <w:rPr>
                <w:noProof/>
                <w:webHidden/>
              </w:rPr>
              <w:fldChar w:fldCharType="separate"/>
            </w:r>
            <w:r w:rsidR="0045669D">
              <w:rPr>
                <w:noProof/>
                <w:webHidden/>
              </w:rPr>
              <w:t>4</w:t>
            </w:r>
            <w:r w:rsidR="00914AE4">
              <w:rPr>
                <w:noProof/>
                <w:webHidden/>
              </w:rPr>
              <w:fldChar w:fldCharType="end"/>
            </w:r>
          </w:hyperlink>
        </w:p>
        <w:p w14:paraId="0D8CF8CD" w14:textId="77777777" w:rsidR="00914AE4" w:rsidRDefault="00D50C4A">
          <w:pPr>
            <w:pStyle w:val="TOC2"/>
            <w:tabs>
              <w:tab w:val="right" w:leader="dot" w:pos="9350"/>
            </w:tabs>
            <w:rPr>
              <w:rFonts w:asciiTheme="minorHAnsi" w:eastAsiaTheme="minorEastAsia" w:hAnsiTheme="minorHAnsi" w:cstheme="minorBidi"/>
              <w:noProof/>
              <w:sz w:val="22"/>
              <w:szCs w:val="22"/>
              <w:lang w:val="en-GB" w:eastAsia="en-GB"/>
            </w:rPr>
          </w:pPr>
          <w:hyperlink w:anchor="_Toc187242795" w:history="1">
            <w:r w:rsidR="00914AE4" w:rsidRPr="009870C1">
              <w:rPr>
                <w:rStyle w:val="Hyperlink"/>
                <w:noProof/>
              </w:rPr>
              <w:t>Item 12 : Capacity-building and development, technical and scientific cooperation, clearing-house mechanism and knowledge management</w:t>
            </w:r>
            <w:r w:rsidR="00914AE4">
              <w:rPr>
                <w:noProof/>
                <w:webHidden/>
              </w:rPr>
              <w:tab/>
            </w:r>
            <w:r w:rsidR="00914AE4">
              <w:rPr>
                <w:noProof/>
                <w:webHidden/>
              </w:rPr>
              <w:fldChar w:fldCharType="begin"/>
            </w:r>
            <w:r w:rsidR="00914AE4">
              <w:rPr>
                <w:noProof/>
                <w:webHidden/>
              </w:rPr>
              <w:instrText xml:space="preserve"> PAGEREF _Toc187242795 \h </w:instrText>
            </w:r>
            <w:r w:rsidR="00914AE4">
              <w:rPr>
                <w:noProof/>
                <w:webHidden/>
              </w:rPr>
            </w:r>
            <w:r w:rsidR="00914AE4">
              <w:rPr>
                <w:noProof/>
                <w:webHidden/>
              </w:rPr>
              <w:fldChar w:fldCharType="separate"/>
            </w:r>
            <w:r w:rsidR="0045669D">
              <w:rPr>
                <w:noProof/>
                <w:webHidden/>
              </w:rPr>
              <w:t>5</w:t>
            </w:r>
            <w:r w:rsidR="00914AE4">
              <w:rPr>
                <w:noProof/>
                <w:webHidden/>
              </w:rPr>
              <w:fldChar w:fldCharType="end"/>
            </w:r>
          </w:hyperlink>
        </w:p>
        <w:p w14:paraId="74318465" w14:textId="77777777" w:rsidR="00914AE4" w:rsidRDefault="00D50C4A">
          <w:pPr>
            <w:pStyle w:val="TOC2"/>
            <w:tabs>
              <w:tab w:val="right" w:leader="dot" w:pos="9350"/>
            </w:tabs>
            <w:rPr>
              <w:rFonts w:asciiTheme="minorHAnsi" w:eastAsiaTheme="minorEastAsia" w:hAnsiTheme="minorHAnsi" w:cstheme="minorBidi"/>
              <w:noProof/>
              <w:sz w:val="22"/>
              <w:szCs w:val="22"/>
              <w:lang w:val="en-GB" w:eastAsia="en-GB"/>
            </w:rPr>
          </w:pPr>
          <w:hyperlink w:anchor="_Toc187242796" w:history="1">
            <w:r w:rsidR="00914AE4" w:rsidRPr="009870C1">
              <w:rPr>
                <w:rStyle w:val="Hyperlink"/>
                <w:noProof/>
              </w:rPr>
              <w:t>Item 15 : Communications, education and public awareness</w:t>
            </w:r>
            <w:r w:rsidR="00914AE4">
              <w:rPr>
                <w:noProof/>
                <w:webHidden/>
              </w:rPr>
              <w:tab/>
            </w:r>
            <w:r w:rsidR="00914AE4">
              <w:rPr>
                <w:noProof/>
                <w:webHidden/>
              </w:rPr>
              <w:fldChar w:fldCharType="begin"/>
            </w:r>
            <w:r w:rsidR="00914AE4">
              <w:rPr>
                <w:noProof/>
                <w:webHidden/>
              </w:rPr>
              <w:instrText xml:space="preserve"> PAGEREF _Toc187242796 \h </w:instrText>
            </w:r>
            <w:r w:rsidR="00914AE4">
              <w:rPr>
                <w:noProof/>
                <w:webHidden/>
              </w:rPr>
            </w:r>
            <w:r w:rsidR="00914AE4">
              <w:rPr>
                <w:noProof/>
                <w:webHidden/>
              </w:rPr>
              <w:fldChar w:fldCharType="separate"/>
            </w:r>
            <w:r w:rsidR="0045669D">
              <w:rPr>
                <w:noProof/>
                <w:webHidden/>
              </w:rPr>
              <w:t>6</w:t>
            </w:r>
            <w:r w:rsidR="00914AE4">
              <w:rPr>
                <w:noProof/>
                <w:webHidden/>
              </w:rPr>
              <w:fldChar w:fldCharType="end"/>
            </w:r>
          </w:hyperlink>
        </w:p>
        <w:p w14:paraId="2AB1122D" w14:textId="77777777" w:rsidR="00914AE4" w:rsidRDefault="00D50C4A">
          <w:pPr>
            <w:pStyle w:val="TOC2"/>
            <w:tabs>
              <w:tab w:val="right" w:leader="dot" w:pos="9350"/>
            </w:tabs>
            <w:rPr>
              <w:rFonts w:asciiTheme="minorHAnsi" w:eastAsiaTheme="minorEastAsia" w:hAnsiTheme="minorHAnsi" w:cstheme="minorBidi"/>
              <w:noProof/>
              <w:sz w:val="22"/>
              <w:szCs w:val="22"/>
              <w:lang w:val="en-GB" w:eastAsia="en-GB"/>
            </w:rPr>
          </w:pPr>
          <w:hyperlink w:anchor="_Toc187242797" w:history="1">
            <w:r w:rsidR="00914AE4" w:rsidRPr="009870C1">
              <w:rPr>
                <w:rStyle w:val="Hyperlink"/>
                <w:noProof/>
              </w:rPr>
              <w:t>Item 17: Mainstreaming of biodiversity within and across sectors</w:t>
            </w:r>
            <w:r w:rsidR="00914AE4">
              <w:rPr>
                <w:noProof/>
                <w:webHidden/>
              </w:rPr>
              <w:tab/>
            </w:r>
            <w:r w:rsidR="00914AE4">
              <w:rPr>
                <w:noProof/>
                <w:webHidden/>
              </w:rPr>
              <w:fldChar w:fldCharType="begin"/>
            </w:r>
            <w:r w:rsidR="00914AE4">
              <w:rPr>
                <w:noProof/>
                <w:webHidden/>
              </w:rPr>
              <w:instrText xml:space="preserve"> PAGEREF _Toc187242797 \h </w:instrText>
            </w:r>
            <w:r w:rsidR="00914AE4">
              <w:rPr>
                <w:noProof/>
                <w:webHidden/>
              </w:rPr>
            </w:r>
            <w:r w:rsidR="00914AE4">
              <w:rPr>
                <w:noProof/>
                <w:webHidden/>
              </w:rPr>
              <w:fldChar w:fldCharType="separate"/>
            </w:r>
            <w:r w:rsidR="0045669D">
              <w:rPr>
                <w:noProof/>
                <w:webHidden/>
              </w:rPr>
              <w:t>7</w:t>
            </w:r>
            <w:r w:rsidR="00914AE4">
              <w:rPr>
                <w:noProof/>
                <w:webHidden/>
              </w:rPr>
              <w:fldChar w:fldCharType="end"/>
            </w:r>
          </w:hyperlink>
        </w:p>
        <w:p w14:paraId="66130902" w14:textId="77777777" w:rsidR="00914AE4" w:rsidRDefault="00D50C4A">
          <w:pPr>
            <w:pStyle w:val="TOC2"/>
            <w:tabs>
              <w:tab w:val="right" w:leader="dot" w:pos="9350"/>
            </w:tabs>
            <w:rPr>
              <w:rFonts w:asciiTheme="minorHAnsi" w:eastAsiaTheme="minorEastAsia" w:hAnsiTheme="minorHAnsi" w:cstheme="minorBidi"/>
              <w:noProof/>
              <w:sz w:val="22"/>
              <w:szCs w:val="22"/>
              <w:lang w:val="en-GB" w:eastAsia="en-GB"/>
            </w:rPr>
          </w:pPr>
          <w:hyperlink w:anchor="_Toc187242798" w:history="1">
            <w:r w:rsidR="00914AE4" w:rsidRPr="009870C1">
              <w:rPr>
                <w:rStyle w:val="Hyperlink"/>
                <w:noProof/>
              </w:rPr>
              <w:t>Item 18 :Diverse values of biodiversity:</w:t>
            </w:r>
            <w:r w:rsidR="00914AE4">
              <w:rPr>
                <w:noProof/>
                <w:webHidden/>
              </w:rPr>
              <w:tab/>
            </w:r>
            <w:r w:rsidR="00914AE4">
              <w:rPr>
                <w:noProof/>
                <w:webHidden/>
              </w:rPr>
              <w:fldChar w:fldCharType="begin"/>
            </w:r>
            <w:r w:rsidR="00914AE4">
              <w:rPr>
                <w:noProof/>
                <w:webHidden/>
              </w:rPr>
              <w:instrText xml:space="preserve"> PAGEREF _Toc187242798 \h </w:instrText>
            </w:r>
            <w:r w:rsidR="00914AE4">
              <w:rPr>
                <w:noProof/>
                <w:webHidden/>
              </w:rPr>
            </w:r>
            <w:r w:rsidR="00914AE4">
              <w:rPr>
                <w:noProof/>
                <w:webHidden/>
              </w:rPr>
              <w:fldChar w:fldCharType="separate"/>
            </w:r>
            <w:r w:rsidR="0045669D">
              <w:rPr>
                <w:noProof/>
                <w:webHidden/>
              </w:rPr>
              <w:t>8</w:t>
            </w:r>
            <w:r w:rsidR="00914AE4">
              <w:rPr>
                <w:noProof/>
                <w:webHidden/>
              </w:rPr>
              <w:fldChar w:fldCharType="end"/>
            </w:r>
          </w:hyperlink>
        </w:p>
        <w:p w14:paraId="034D8891" w14:textId="77777777" w:rsidR="00914AE4" w:rsidRDefault="00D50C4A">
          <w:pPr>
            <w:pStyle w:val="TOC1"/>
            <w:tabs>
              <w:tab w:val="right" w:leader="dot" w:pos="9350"/>
            </w:tabs>
            <w:rPr>
              <w:rFonts w:asciiTheme="minorHAnsi" w:eastAsiaTheme="minorEastAsia" w:hAnsiTheme="minorHAnsi" w:cstheme="minorBidi"/>
              <w:noProof/>
              <w:sz w:val="22"/>
              <w:szCs w:val="22"/>
              <w:lang w:val="en-GB" w:eastAsia="en-GB"/>
            </w:rPr>
          </w:pPr>
          <w:hyperlink w:anchor="_Toc187242799" w:history="1">
            <w:r w:rsidR="00914AE4" w:rsidRPr="009870C1">
              <w:rPr>
                <w:rStyle w:val="Hyperlink"/>
                <w:noProof/>
                <w:lang w:val="en-GB"/>
              </w:rPr>
              <w:t>Conference of the Parties to the Convention on Biological Diversity serving as the meeting of the Parties to the Nagoya Protocol on Access to Genetic Resources and the Fair and Equitable Sharing of Benefits Arising from their Utilization Fifth meeting</w:t>
            </w:r>
            <w:r w:rsidR="00914AE4">
              <w:rPr>
                <w:noProof/>
                <w:webHidden/>
              </w:rPr>
              <w:tab/>
            </w:r>
            <w:r w:rsidR="00914AE4">
              <w:rPr>
                <w:noProof/>
                <w:webHidden/>
              </w:rPr>
              <w:fldChar w:fldCharType="begin"/>
            </w:r>
            <w:r w:rsidR="00914AE4">
              <w:rPr>
                <w:noProof/>
                <w:webHidden/>
              </w:rPr>
              <w:instrText xml:space="preserve"> PAGEREF _Toc187242799 \h </w:instrText>
            </w:r>
            <w:r w:rsidR="00914AE4">
              <w:rPr>
                <w:noProof/>
                <w:webHidden/>
              </w:rPr>
            </w:r>
            <w:r w:rsidR="00914AE4">
              <w:rPr>
                <w:noProof/>
                <w:webHidden/>
              </w:rPr>
              <w:fldChar w:fldCharType="separate"/>
            </w:r>
            <w:r w:rsidR="0045669D">
              <w:rPr>
                <w:noProof/>
                <w:webHidden/>
              </w:rPr>
              <w:t>9</w:t>
            </w:r>
            <w:r w:rsidR="00914AE4">
              <w:rPr>
                <w:noProof/>
                <w:webHidden/>
              </w:rPr>
              <w:fldChar w:fldCharType="end"/>
            </w:r>
          </w:hyperlink>
        </w:p>
        <w:p w14:paraId="507CD94C" w14:textId="77777777" w:rsidR="00914AE4" w:rsidRDefault="00D50C4A">
          <w:pPr>
            <w:pStyle w:val="TOC2"/>
            <w:tabs>
              <w:tab w:val="right" w:leader="dot" w:pos="9350"/>
            </w:tabs>
            <w:rPr>
              <w:rFonts w:asciiTheme="minorHAnsi" w:eastAsiaTheme="minorEastAsia" w:hAnsiTheme="minorHAnsi" w:cstheme="minorBidi"/>
              <w:noProof/>
              <w:sz w:val="22"/>
              <w:szCs w:val="22"/>
              <w:lang w:val="en-GB" w:eastAsia="en-GB"/>
            </w:rPr>
          </w:pPr>
          <w:hyperlink w:anchor="_Toc187242800" w:history="1">
            <w:r w:rsidR="00914AE4" w:rsidRPr="009870C1">
              <w:rPr>
                <w:rStyle w:val="Hyperlink"/>
                <w:noProof/>
              </w:rPr>
              <w:t>Item 8 :Capacity-building and development and awareness-raising</w:t>
            </w:r>
            <w:r w:rsidR="00914AE4">
              <w:rPr>
                <w:noProof/>
                <w:webHidden/>
              </w:rPr>
              <w:tab/>
            </w:r>
            <w:r w:rsidR="00914AE4">
              <w:rPr>
                <w:noProof/>
                <w:webHidden/>
              </w:rPr>
              <w:fldChar w:fldCharType="begin"/>
            </w:r>
            <w:r w:rsidR="00914AE4">
              <w:rPr>
                <w:noProof/>
                <w:webHidden/>
              </w:rPr>
              <w:instrText xml:space="preserve"> PAGEREF _Toc187242800 \h </w:instrText>
            </w:r>
            <w:r w:rsidR="00914AE4">
              <w:rPr>
                <w:noProof/>
                <w:webHidden/>
              </w:rPr>
            </w:r>
            <w:r w:rsidR="00914AE4">
              <w:rPr>
                <w:noProof/>
                <w:webHidden/>
              </w:rPr>
              <w:fldChar w:fldCharType="separate"/>
            </w:r>
            <w:r w:rsidR="0045669D">
              <w:rPr>
                <w:noProof/>
                <w:webHidden/>
              </w:rPr>
              <w:t>9</w:t>
            </w:r>
            <w:r w:rsidR="00914AE4">
              <w:rPr>
                <w:noProof/>
                <w:webHidden/>
              </w:rPr>
              <w:fldChar w:fldCharType="end"/>
            </w:r>
          </w:hyperlink>
        </w:p>
        <w:p w14:paraId="60A92269" w14:textId="77777777" w:rsidR="00914AE4" w:rsidRDefault="00D50C4A">
          <w:pPr>
            <w:pStyle w:val="TOC2"/>
            <w:tabs>
              <w:tab w:val="right" w:leader="dot" w:pos="9350"/>
            </w:tabs>
            <w:rPr>
              <w:rFonts w:asciiTheme="minorHAnsi" w:eastAsiaTheme="minorEastAsia" w:hAnsiTheme="minorHAnsi" w:cstheme="minorBidi"/>
              <w:noProof/>
              <w:sz w:val="22"/>
              <w:szCs w:val="22"/>
              <w:lang w:val="en-GB" w:eastAsia="en-GB"/>
            </w:rPr>
          </w:pPr>
          <w:hyperlink w:anchor="_Toc187242801" w:history="1">
            <w:r w:rsidR="00914AE4" w:rsidRPr="009870C1">
              <w:rPr>
                <w:rStyle w:val="Hyperlink"/>
                <w:noProof/>
              </w:rPr>
              <w:t>Item 9 :Access and Benefit-sharing Clearing-House and information-sharing</w:t>
            </w:r>
            <w:r w:rsidR="00914AE4">
              <w:rPr>
                <w:noProof/>
                <w:webHidden/>
              </w:rPr>
              <w:tab/>
            </w:r>
            <w:r w:rsidR="00914AE4">
              <w:rPr>
                <w:noProof/>
                <w:webHidden/>
              </w:rPr>
              <w:fldChar w:fldCharType="begin"/>
            </w:r>
            <w:r w:rsidR="00914AE4">
              <w:rPr>
                <w:noProof/>
                <w:webHidden/>
              </w:rPr>
              <w:instrText xml:space="preserve"> PAGEREF _Toc187242801 \h </w:instrText>
            </w:r>
            <w:r w:rsidR="00914AE4">
              <w:rPr>
                <w:noProof/>
                <w:webHidden/>
              </w:rPr>
            </w:r>
            <w:r w:rsidR="00914AE4">
              <w:rPr>
                <w:noProof/>
                <w:webHidden/>
              </w:rPr>
              <w:fldChar w:fldCharType="separate"/>
            </w:r>
            <w:r w:rsidR="0045669D">
              <w:rPr>
                <w:noProof/>
                <w:webHidden/>
              </w:rPr>
              <w:t>10</w:t>
            </w:r>
            <w:r w:rsidR="00914AE4">
              <w:rPr>
                <w:noProof/>
                <w:webHidden/>
              </w:rPr>
              <w:fldChar w:fldCharType="end"/>
            </w:r>
          </w:hyperlink>
        </w:p>
        <w:p w14:paraId="5399F2E8" w14:textId="77777777" w:rsidR="00914AE4" w:rsidRDefault="00D50C4A">
          <w:pPr>
            <w:pStyle w:val="TOC1"/>
            <w:tabs>
              <w:tab w:val="right" w:leader="dot" w:pos="9350"/>
            </w:tabs>
            <w:rPr>
              <w:rFonts w:asciiTheme="minorHAnsi" w:eastAsiaTheme="minorEastAsia" w:hAnsiTheme="minorHAnsi" w:cstheme="minorBidi"/>
              <w:noProof/>
              <w:sz w:val="22"/>
              <w:szCs w:val="22"/>
              <w:lang w:val="en-GB" w:eastAsia="en-GB"/>
            </w:rPr>
          </w:pPr>
          <w:hyperlink w:anchor="_Toc187242802" w:history="1">
            <w:r w:rsidR="00914AE4" w:rsidRPr="009870C1">
              <w:rPr>
                <w:rStyle w:val="Hyperlink"/>
                <w:b/>
                <w:noProof/>
              </w:rPr>
              <w:t>SIDE EVENTS</w:t>
            </w:r>
            <w:r w:rsidR="00914AE4">
              <w:rPr>
                <w:noProof/>
                <w:webHidden/>
              </w:rPr>
              <w:tab/>
            </w:r>
            <w:r w:rsidR="00914AE4">
              <w:rPr>
                <w:noProof/>
                <w:webHidden/>
              </w:rPr>
              <w:fldChar w:fldCharType="begin"/>
            </w:r>
            <w:r w:rsidR="00914AE4">
              <w:rPr>
                <w:noProof/>
                <w:webHidden/>
              </w:rPr>
              <w:instrText xml:space="preserve"> PAGEREF _Toc187242802 \h </w:instrText>
            </w:r>
            <w:r w:rsidR="00914AE4">
              <w:rPr>
                <w:noProof/>
                <w:webHidden/>
              </w:rPr>
            </w:r>
            <w:r w:rsidR="00914AE4">
              <w:rPr>
                <w:noProof/>
                <w:webHidden/>
              </w:rPr>
              <w:fldChar w:fldCharType="separate"/>
            </w:r>
            <w:r w:rsidR="0045669D">
              <w:rPr>
                <w:noProof/>
                <w:webHidden/>
              </w:rPr>
              <w:t>11</w:t>
            </w:r>
            <w:r w:rsidR="00914AE4">
              <w:rPr>
                <w:noProof/>
                <w:webHidden/>
              </w:rPr>
              <w:fldChar w:fldCharType="end"/>
            </w:r>
          </w:hyperlink>
        </w:p>
        <w:p w14:paraId="5408832D" w14:textId="77777777" w:rsidR="00914AE4" w:rsidRDefault="00D50C4A">
          <w:pPr>
            <w:pStyle w:val="TOC2"/>
            <w:tabs>
              <w:tab w:val="right" w:leader="dot" w:pos="9350"/>
            </w:tabs>
            <w:rPr>
              <w:rFonts w:asciiTheme="minorHAnsi" w:eastAsiaTheme="minorEastAsia" w:hAnsiTheme="minorHAnsi" w:cstheme="minorBidi"/>
              <w:noProof/>
              <w:sz w:val="22"/>
              <w:szCs w:val="22"/>
              <w:lang w:val="en-GB" w:eastAsia="en-GB"/>
            </w:rPr>
          </w:pPr>
          <w:hyperlink w:anchor="_Toc187242803" w:history="1">
            <w:r w:rsidR="00914AE4" w:rsidRPr="009870C1">
              <w:rPr>
                <w:rStyle w:val="Hyperlink"/>
                <w:noProof/>
              </w:rPr>
              <w:t>National Clearing House Mechanism and Bioland 2.0</w:t>
            </w:r>
            <w:r w:rsidR="00914AE4">
              <w:rPr>
                <w:noProof/>
                <w:webHidden/>
              </w:rPr>
              <w:tab/>
            </w:r>
            <w:r w:rsidR="00914AE4">
              <w:rPr>
                <w:noProof/>
                <w:webHidden/>
              </w:rPr>
              <w:fldChar w:fldCharType="begin"/>
            </w:r>
            <w:r w:rsidR="00914AE4">
              <w:rPr>
                <w:noProof/>
                <w:webHidden/>
              </w:rPr>
              <w:instrText xml:space="preserve"> PAGEREF _Toc187242803 \h </w:instrText>
            </w:r>
            <w:r w:rsidR="00914AE4">
              <w:rPr>
                <w:noProof/>
                <w:webHidden/>
              </w:rPr>
            </w:r>
            <w:r w:rsidR="00914AE4">
              <w:rPr>
                <w:noProof/>
                <w:webHidden/>
              </w:rPr>
              <w:fldChar w:fldCharType="separate"/>
            </w:r>
            <w:r w:rsidR="0045669D">
              <w:rPr>
                <w:noProof/>
                <w:webHidden/>
              </w:rPr>
              <w:t>11</w:t>
            </w:r>
            <w:r w:rsidR="00914AE4">
              <w:rPr>
                <w:noProof/>
                <w:webHidden/>
              </w:rPr>
              <w:fldChar w:fldCharType="end"/>
            </w:r>
          </w:hyperlink>
        </w:p>
        <w:p w14:paraId="659D2778" w14:textId="77777777" w:rsidR="00914AE4" w:rsidRDefault="00D50C4A">
          <w:pPr>
            <w:pStyle w:val="TOC2"/>
            <w:tabs>
              <w:tab w:val="right" w:leader="dot" w:pos="9350"/>
            </w:tabs>
            <w:rPr>
              <w:rFonts w:asciiTheme="minorHAnsi" w:eastAsiaTheme="minorEastAsia" w:hAnsiTheme="minorHAnsi" w:cstheme="minorBidi"/>
              <w:noProof/>
              <w:sz w:val="22"/>
              <w:szCs w:val="22"/>
              <w:lang w:val="en-GB" w:eastAsia="en-GB"/>
            </w:rPr>
          </w:pPr>
          <w:hyperlink w:anchor="_Toc187242804" w:history="1">
            <w:r w:rsidR="00914AE4" w:rsidRPr="009870C1">
              <w:rPr>
                <w:rStyle w:val="Hyperlink"/>
                <w:noProof/>
              </w:rPr>
              <w:t>Access and Benefit-Sharing Clearing-House Training Workshop</w:t>
            </w:r>
            <w:r w:rsidR="00914AE4">
              <w:rPr>
                <w:noProof/>
                <w:webHidden/>
              </w:rPr>
              <w:tab/>
            </w:r>
            <w:r w:rsidR="00914AE4">
              <w:rPr>
                <w:noProof/>
                <w:webHidden/>
              </w:rPr>
              <w:fldChar w:fldCharType="begin"/>
            </w:r>
            <w:r w:rsidR="00914AE4">
              <w:rPr>
                <w:noProof/>
                <w:webHidden/>
              </w:rPr>
              <w:instrText xml:space="preserve"> PAGEREF _Toc187242804 \h </w:instrText>
            </w:r>
            <w:r w:rsidR="00914AE4">
              <w:rPr>
                <w:noProof/>
                <w:webHidden/>
              </w:rPr>
            </w:r>
            <w:r w:rsidR="00914AE4">
              <w:rPr>
                <w:noProof/>
                <w:webHidden/>
              </w:rPr>
              <w:fldChar w:fldCharType="separate"/>
            </w:r>
            <w:r w:rsidR="0045669D">
              <w:rPr>
                <w:noProof/>
                <w:webHidden/>
              </w:rPr>
              <w:t>13</w:t>
            </w:r>
            <w:r w:rsidR="00914AE4">
              <w:rPr>
                <w:noProof/>
                <w:webHidden/>
              </w:rPr>
              <w:fldChar w:fldCharType="end"/>
            </w:r>
          </w:hyperlink>
        </w:p>
        <w:p w14:paraId="5900036E" w14:textId="77777777" w:rsidR="00914AE4" w:rsidRDefault="00D50C4A">
          <w:pPr>
            <w:pStyle w:val="TOC1"/>
            <w:tabs>
              <w:tab w:val="right" w:leader="dot" w:pos="9350"/>
            </w:tabs>
            <w:rPr>
              <w:rFonts w:asciiTheme="minorHAnsi" w:eastAsiaTheme="minorEastAsia" w:hAnsiTheme="minorHAnsi" w:cstheme="minorBidi"/>
              <w:noProof/>
              <w:sz w:val="22"/>
              <w:szCs w:val="22"/>
              <w:lang w:val="en-GB" w:eastAsia="en-GB"/>
            </w:rPr>
          </w:pPr>
          <w:hyperlink w:anchor="_Toc187242805" w:history="1">
            <w:r w:rsidR="00914AE4" w:rsidRPr="009870C1">
              <w:rPr>
                <w:rStyle w:val="Hyperlink"/>
                <w:noProof/>
              </w:rPr>
              <w:t>Outcomes Relevant to Kenya’s Interests</w:t>
            </w:r>
            <w:r w:rsidR="00914AE4">
              <w:rPr>
                <w:noProof/>
                <w:webHidden/>
              </w:rPr>
              <w:tab/>
            </w:r>
            <w:r w:rsidR="00914AE4">
              <w:rPr>
                <w:noProof/>
                <w:webHidden/>
              </w:rPr>
              <w:fldChar w:fldCharType="begin"/>
            </w:r>
            <w:r w:rsidR="00914AE4">
              <w:rPr>
                <w:noProof/>
                <w:webHidden/>
              </w:rPr>
              <w:instrText xml:space="preserve"> PAGEREF _Toc187242805 \h </w:instrText>
            </w:r>
            <w:r w:rsidR="00914AE4">
              <w:rPr>
                <w:noProof/>
                <w:webHidden/>
              </w:rPr>
            </w:r>
            <w:r w:rsidR="00914AE4">
              <w:rPr>
                <w:noProof/>
                <w:webHidden/>
              </w:rPr>
              <w:fldChar w:fldCharType="separate"/>
            </w:r>
            <w:r w:rsidR="0045669D">
              <w:rPr>
                <w:noProof/>
                <w:webHidden/>
              </w:rPr>
              <w:t>15</w:t>
            </w:r>
            <w:r w:rsidR="00914AE4">
              <w:rPr>
                <w:noProof/>
                <w:webHidden/>
              </w:rPr>
              <w:fldChar w:fldCharType="end"/>
            </w:r>
          </w:hyperlink>
        </w:p>
        <w:p w14:paraId="70906ED2" w14:textId="77777777" w:rsidR="00914AE4" w:rsidRDefault="00D50C4A">
          <w:pPr>
            <w:pStyle w:val="TOC1"/>
            <w:tabs>
              <w:tab w:val="right" w:leader="dot" w:pos="9350"/>
            </w:tabs>
            <w:rPr>
              <w:rFonts w:asciiTheme="minorHAnsi" w:eastAsiaTheme="minorEastAsia" w:hAnsiTheme="minorHAnsi" w:cstheme="minorBidi"/>
              <w:noProof/>
              <w:sz w:val="22"/>
              <w:szCs w:val="22"/>
              <w:lang w:val="en-GB" w:eastAsia="en-GB"/>
            </w:rPr>
          </w:pPr>
          <w:hyperlink w:anchor="_Toc187242806" w:history="1">
            <w:r w:rsidR="00914AE4" w:rsidRPr="009870C1">
              <w:rPr>
                <w:rStyle w:val="Hyperlink"/>
                <w:noProof/>
              </w:rPr>
              <w:t>Kenya Honoured at Global conference -COP16 for Outstanding National Clearing-House Mechanism on Biodiversity</w:t>
            </w:r>
            <w:r w:rsidR="00914AE4">
              <w:rPr>
                <w:noProof/>
                <w:webHidden/>
              </w:rPr>
              <w:tab/>
            </w:r>
            <w:r w:rsidR="00914AE4">
              <w:rPr>
                <w:noProof/>
                <w:webHidden/>
              </w:rPr>
              <w:fldChar w:fldCharType="begin"/>
            </w:r>
            <w:r w:rsidR="00914AE4">
              <w:rPr>
                <w:noProof/>
                <w:webHidden/>
              </w:rPr>
              <w:instrText xml:space="preserve"> PAGEREF _Toc187242806 \h </w:instrText>
            </w:r>
            <w:r w:rsidR="00914AE4">
              <w:rPr>
                <w:noProof/>
                <w:webHidden/>
              </w:rPr>
            </w:r>
            <w:r w:rsidR="00914AE4">
              <w:rPr>
                <w:noProof/>
                <w:webHidden/>
              </w:rPr>
              <w:fldChar w:fldCharType="separate"/>
            </w:r>
            <w:r w:rsidR="0045669D">
              <w:rPr>
                <w:noProof/>
                <w:webHidden/>
              </w:rPr>
              <w:t>16</w:t>
            </w:r>
            <w:r w:rsidR="00914AE4">
              <w:rPr>
                <w:noProof/>
                <w:webHidden/>
              </w:rPr>
              <w:fldChar w:fldCharType="end"/>
            </w:r>
          </w:hyperlink>
        </w:p>
        <w:p w14:paraId="4D327202" w14:textId="0E2102B4" w:rsidR="00F93888" w:rsidRDefault="00F93888">
          <w:r>
            <w:rPr>
              <w:b/>
              <w:bCs/>
              <w:noProof/>
            </w:rPr>
            <w:fldChar w:fldCharType="end"/>
          </w:r>
        </w:p>
      </w:sdtContent>
    </w:sdt>
    <w:p w14:paraId="0491FF59" w14:textId="5D8818A4" w:rsidR="00F93888" w:rsidRDefault="00F93888">
      <w:pPr>
        <w:rPr>
          <w:rFonts w:asciiTheme="majorHAnsi" w:eastAsiaTheme="majorEastAsia" w:hAnsiTheme="majorHAnsi" w:cstheme="majorBidi"/>
          <w:color w:val="2F5496" w:themeColor="accent1" w:themeShade="BF"/>
          <w:sz w:val="32"/>
          <w:szCs w:val="32"/>
        </w:rPr>
      </w:pPr>
      <w:r>
        <w:br w:type="page"/>
      </w:r>
    </w:p>
    <w:p w14:paraId="55B30A2F" w14:textId="77777777" w:rsidR="00C75135" w:rsidRPr="00C75135" w:rsidRDefault="00C75135" w:rsidP="00C75135">
      <w:pPr>
        <w:pStyle w:val="Heading1"/>
      </w:pPr>
      <w:bookmarkStart w:id="1" w:name="_Toc187242792"/>
      <w:r w:rsidRPr="00C75135">
        <w:lastRenderedPageBreak/>
        <w:t>Introduction and Acknowledgment</w:t>
      </w:r>
      <w:bookmarkEnd w:id="1"/>
    </w:p>
    <w:p w14:paraId="509A90E1" w14:textId="77777777" w:rsidR="00C75135" w:rsidRPr="00C75135" w:rsidRDefault="00C75135" w:rsidP="00C75135">
      <w:pPr>
        <w:tabs>
          <w:tab w:val="left" w:pos="1008"/>
        </w:tabs>
        <w:rPr>
          <w:rFonts w:ascii="Century Gothic" w:hAnsi="Century Gothic"/>
          <w:b/>
          <w:bCs/>
          <w:sz w:val="28"/>
          <w:szCs w:val="28"/>
        </w:rPr>
      </w:pPr>
    </w:p>
    <w:p w14:paraId="54B4DF7A" w14:textId="77777777" w:rsidR="00C75135" w:rsidRPr="00C75135" w:rsidRDefault="00C75135" w:rsidP="00C75135">
      <w:pPr>
        <w:tabs>
          <w:tab w:val="left" w:pos="1008"/>
        </w:tabs>
        <w:jc w:val="both"/>
        <w:rPr>
          <w:rFonts w:ascii="Century Gothic" w:hAnsi="Century Gothic"/>
          <w:bCs/>
        </w:rPr>
      </w:pPr>
      <w:r w:rsidRPr="00C75135">
        <w:rPr>
          <w:rFonts w:ascii="Century Gothic" w:hAnsi="Century Gothic"/>
          <w:bCs/>
        </w:rPr>
        <w:t>This report provides a summary of my participation in the Sixteenth Meeting of the Conference of the Parties to the Convention on Biological Diversity (COP16), held in Cali, Colombia, from 20th October to 1st November 2024. As a representative of the National Environment Management Authority (NEMA), Kenya, and the National CHM desk officer, I actively engaged in discussions and sessions covering key agenda items, including planning, monitoring, reporting, capacity building, knowledge management, and mainstreaming biodiversity across sectors.</w:t>
      </w:r>
    </w:p>
    <w:p w14:paraId="39EE400F" w14:textId="77777777" w:rsidR="00C75135" w:rsidRPr="00C75135" w:rsidRDefault="00C75135" w:rsidP="00C75135">
      <w:pPr>
        <w:tabs>
          <w:tab w:val="left" w:pos="1008"/>
        </w:tabs>
        <w:jc w:val="both"/>
        <w:rPr>
          <w:rFonts w:ascii="Century Gothic" w:hAnsi="Century Gothic"/>
          <w:bCs/>
        </w:rPr>
      </w:pPr>
    </w:p>
    <w:p w14:paraId="041C5924" w14:textId="77777777" w:rsidR="00C75135" w:rsidRDefault="00C75135" w:rsidP="00C75135">
      <w:pPr>
        <w:tabs>
          <w:tab w:val="left" w:pos="1008"/>
        </w:tabs>
        <w:jc w:val="both"/>
        <w:rPr>
          <w:rFonts w:ascii="Century Gothic" w:hAnsi="Century Gothic"/>
          <w:bCs/>
        </w:rPr>
      </w:pPr>
      <w:r w:rsidRPr="00C75135">
        <w:rPr>
          <w:rFonts w:ascii="Century Gothic" w:hAnsi="Century Gothic"/>
          <w:bCs/>
        </w:rPr>
        <w:t>The side events I attended, including the National Clearing House Mechanism and Bioland 2.0 session and the Access and Benefit-Sharing Clearing-House Training Workshop, provided valuable insights into advancing knowledge-sharing platforms and strengthening the implementation of access and benefit-sharing mechanisms.</w:t>
      </w:r>
    </w:p>
    <w:p w14:paraId="4163A117" w14:textId="77777777" w:rsidR="00AA30FF" w:rsidRPr="00C75135" w:rsidRDefault="00AA30FF" w:rsidP="00C75135">
      <w:pPr>
        <w:tabs>
          <w:tab w:val="left" w:pos="1008"/>
        </w:tabs>
        <w:jc w:val="both"/>
        <w:rPr>
          <w:rFonts w:ascii="Century Gothic" w:hAnsi="Century Gothic"/>
          <w:bCs/>
        </w:rPr>
      </w:pPr>
    </w:p>
    <w:p w14:paraId="4E947DD0" w14:textId="63341EC3" w:rsidR="00C75135" w:rsidRDefault="00AA30FF" w:rsidP="00AA30FF">
      <w:pPr>
        <w:tabs>
          <w:tab w:val="left" w:pos="1008"/>
        </w:tabs>
        <w:jc w:val="both"/>
        <w:rPr>
          <w:rFonts w:ascii="Century Gothic" w:hAnsi="Century Gothic"/>
          <w:bCs/>
        </w:rPr>
      </w:pPr>
      <w:r w:rsidRPr="00AA30FF">
        <w:rPr>
          <w:rFonts w:ascii="Century Gothic" w:hAnsi="Century Gothic"/>
          <w:bCs/>
        </w:rPr>
        <w:t>Kenya was awarded a Certificate of Appreciation on October 31, 2024, during COP16 of the</w:t>
      </w:r>
      <w:r>
        <w:rPr>
          <w:rFonts w:ascii="Century Gothic" w:hAnsi="Century Gothic"/>
          <w:bCs/>
        </w:rPr>
        <w:t xml:space="preserve"> </w:t>
      </w:r>
      <w:r w:rsidRPr="00AA30FF">
        <w:rPr>
          <w:rFonts w:ascii="Century Gothic" w:hAnsi="Century Gothic"/>
          <w:bCs/>
        </w:rPr>
        <w:t xml:space="preserve">Convention on Biological Diversity in Cali, Colombia. Presented by </w:t>
      </w:r>
      <w:r w:rsidRPr="00AA30FF">
        <w:rPr>
          <w:rFonts w:ascii="Century Gothic" w:hAnsi="Century Gothic"/>
          <w:b/>
          <w:bCs/>
        </w:rPr>
        <w:t>CBD Executive Secretary Ms.Astrid Shomaker</w:t>
      </w:r>
      <w:r w:rsidRPr="00AA30FF">
        <w:rPr>
          <w:rFonts w:ascii="Century Gothic" w:hAnsi="Century Gothic"/>
          <w:bCs/>
        </w:rPr>
        <w:t>, the award celebrates Kenyas well-organized National Clearing-House Mechanism (CHM) an online platform for managing and sharing biodiversity data, supporting the implementation Kunming -Montreal Global Biodiversity Framework</w:t>
      </w:r>
    </w:p>
    <w:p w14:paraId="250B8AA5" w14:textId="77777777" w:rsidR="00AA30FF" w:rsidRPr="00C75135" w:rsidRDefault="00AA30FF" w:rsidP="00AA30FF">
      <w:pPr>
        <w:tabs>
          <w:tab w:val="left" w:pos="1008"/>
        </w:tabs>
        <w:jc w:val="both"/>
        <w:rPr>
          <w:rFonts w:ascii="Century Gothic" w:hAnsi="Century Gothic"/>
          <w:bCs/>
        </w:rPr>
      </w:pPr>
    </w:p>
    <w:p w14:paraId="31AB7632" w14:textId="6E512581" w:rsidR="00C75135" w:rsidRPr="00C75135" w:rsidRDefault="00C75135" w:rsidP="00C75135">
      <w:pPr>
        <w:tabs>
          <w:tab w:val="left" w:pos="1008"/>
        </w:tabs>
        <w:jc w:val="both"/>
        <w:rPr>
          <w:rFonts w:ascii="Century Gothic" w:hAnsi="Century Gothic"/>
          <w:bCs/>
        </w:rPr>
      </w:pPr>
      <w:r w:rsidRPr="00C75135">
        <w:rPr>
          <w:rFonts w:ascii="Century Gothic" w:hAnsi="Century Gothic"/>
          <w:bCs/>
        </w:rPr>
        <w:t xml:space="preserve">I extend my heartfelt gratitude to the Royal Belgian Institute of Natural Sciences (RBINS) for their generous support </w:t>
      </w:r>
      <w:r w:rsidR="008771F4">
        <w:rPr>
          <w:rFonts w:ascii="Century Gothic" w:hAnsi="Century Gothic"/>
          <w:bCs/>
        </w:rPr>
        <w:t xml:space="preserve">(Travel and Accommodation) </w:t>
      </w:r>
      <w:r w:rsidRPr="00C75135">
        <w:rPr>
          <w:rFonts w:ascii="Century Gothic" w:hAnsi="Century Gothic"/>
          <w:bCs/>
        </w:rPr>
        <w:t>through the CHM Partnership and the CEBioS program. Their commitment to building capacity and supporting partner countries in managing and enhancing their Clearing-House Mechanisms was instrumental in facilitating my participation. This support not only enhanced my understanding of CHM-related processes but also bolstered Kenya's efforts in aligning with the Kunming-Montreal Global Biodiversity Framework goals.</w:t>
      </w:r>
    </w:p>
    <w:p w14:paraId="19E229A4" w14:textId="77777777" w:rsidR="00C75135" w:rsidRPr="00C75135" w:rsidRDefault="00C75135" w:rsidP="00C75135">
      <w:pPr>
        <w:tabs>
          <w:tab w:val="left" w:pos="1008"/>
        </w:tabs>
        <w:jc w:val="both"/>
        <w:rPr>
          <w:rFonts w:ascii="Century Gothic" w:hAnsi="Century Gothic"/>
          <w:bCs/>
        </w:rPr>
      </w:pPr>
    </w:p>
    <w:p w14:paraId="0477D4E7" w14:textId="569EEE45" w:rsidR="00FB2C39" w:rsidRDefault="00C75135" w:rsidP="00C75135">
      <w:pPr>
        <w:tabs>
          <w:tab w:val="left" w:pos="1008"/>
        </w:tabs>
        <w:jc w:val="both"/>
        <w:rPr>
          <w:rFonts w:ascii="Century Gothic" w:hAnsi="Century Gothic"/>
          <w:bCs/>
        </w:rPr>
      </w:pPr>
      <w:r w:rsidRPr="00C75135">
        <w:rPr>
          <w:rFonts w:ascii="Century Gothic" w:hAnsi="Century Gothic"/>
          <w:bCs/>
        </w:rPr>
        <w:t>This report aims to share key outcomes and lessons learned from COP16 to inform and strengthen Kenya’s biodiversity initiatives and CHM activities.</w:t>
      </w:r>
    </w:p>
    <w:p w14:paraId="736C8C5A" w14:textId="77777777" w:rsidR="00FB2C39" w:rsidRDefault="00FB2C39" w:rsidP="00C75135">
      <w:pPr>
        <w:tabs>
          <w:tab w:val="left" w:pos="1008"/>
        </w:tabs>
        <w:jc w:val="both"/>
        <w:rPr>
          <w:rFonts w:ascii="Century Gothic" w:hAnsi="Century Gothic"/>
          <w:bCs/>
        </w:rPr>
      </w:pPr>
    </w:p>
    <w:p w14:paraId="042F5ADE" w14:textId="32795C32" w:rsidR="00FB2C39" w:rsidRDefault="00FB2C39" w:rsidP="00FB2C39">
      <w:pPr>
        <w:tabs>
          <w:tab w:val="left" w:pos="1008"/>
        </w:tabs>
        <w:jc w:val="center"/>
        <w:rPr>
          <w:rFonts w:ascii="Century Gothic" w:hAnsi="Century Gothic"/>
          <w:bCs/>
        </w:rPr>
      </w:pPr>
      <w:r>
        <w:rPr>
          <w:rFonts w:ascii="Century Gothic" w:hAnsi="Century Gothic"/>
          <w:bCs/>
          <w:noProof/>
          <w:lang w:val="en-GB" w:eastAsia="en-GB"/>
        </w:rPr>
        <w:lastRenderedPageBreak/>
        <w:drawing>
          <wp:inline distT="0" distB="0" distL="0" distR="0" wp14:anchorId="74D2AD5F" wp14:editId="57A08E77">
            <wp:extent cx="3104515" cy="421957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41030_134640_445@-5819336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7622" cy="4223798"/>
                    </a:xfrm>
                    <a:prstGeom prst="rect">
                      <a:avLst/>
                    </a:prstGeom>
                  </pic:spPr>
                </pic:pic>
              </a:graphicData>
            </a:graphic>
          </wp:inline>
        </w:drawing>
      </w:r>
    </w:p>
    <w:p w14:paraId="2A27A1BD" w14:textId="6C78DABE" w:rsidR="00FB2C39" w:rsidRPr="00FB2C39" w:rsidRDefault="00FB2C39" w:rsidP="00FB2C39">
      <w:pPr>
        <w:tabs>
          <w:tab w:val="left" w:pos="1008"/>
        </w:tabs>
        <w:jc w:val="center"/>
        <w:rPr>
          <w:rFonts w:ascii="Century Gothic" w:hAnsi="Century Gothic"/>
          <w:b/>
          <w:bCs/>
        </w:rPr>
      </w:pPr>
      <w:r w:rsidRPr="00FB2C39">
        <w:rPr>
          <w:rFonts w:ascii="Century Gothic" w:hAnsi="Century Gothic"/>
          <w:b/>
          <w:bCs/>
        </w:rPr>
        <w:t>Myself at the Kenyan desk.</w:t>
      </w:r>
    </w:p>
    <w:p w14:paraId="1C012D4E" w14:textId="77777777" w:rsidR="009D5B0B" w:rsidRPr="00C75135" w:rsidRDefault="009D5B0B" w:rsidP="00C75135">
      <w:pPr>
        <w:tabs>
          <w:tab w:val="left" w:pos="1008"/>
        </w:tabs>
        <w:jc w:val="both"/>
        <w:rPr>
          <w:rFonts w:ascii="Century Gothic" w:hAnsi="Century Gothic"/>
          <w:bCs/>
        </w:rPr>
      </w:pPr>
    </w:p>
    <w:p w14:paraId="2E2687E5" w14:textId="3F7A3E24" w:rsidR="00B643B2" w:rsidRPr="00914AE4" w:rsidRDefault="00C35C02" w:rsidP="00C75135">
      <w:pPr>
        <w:pStyle w:val="Heading1"/>
        <w:rPr>
          <w:b/>
        </w:rPr>
      </w:pPr>
      <w:bookmarkStart w:id="2" w:name="_Toc187242793"/>
      <w:r w:rsidRPr="00914AE4">
        <w:rPr>
          <w:b/>
        </w:rPr>
        <w:t xml:space="preserve">Substantive Agenda Items for </w:t>
      </w:r>
      <w:r w:rsidR="00DD6360" w:rsidRPr="00914AE4">
        <w:rPr>
          <w:b/>
        </w:rPr>
        <w:t>COP1</w:t>
      </w:r>
      <w:r w:rsidR="00D22539" w:rsidRPr="00914AE4">
        <w:rPr>
          <w:b/>
        </w:rPr>
        <w:t>6</w:t>
      </w:r>
      <w:bookmarkEnd w:id="2"/>
    </w:p>
    <w:p w14:paraId="4A4A7AFF" w14:textId="77777777" w:rsidR="00D22539" w:rsidRPr="00C75135" w:rsidRDefault="00D22539" w:rsidP="00B643B2">
      <w:pPr>
        <w:tabs>
          <w:tab w:val="left" w:pos="1008"/>
        </w:tabs>
        <w:jc w:val="both"/>
        <w:rPr>
          <w:rFonts w:ascii="Century Gothic" w:hAnsi="Century Gothic"/>
          <w:b/>
          <w:bCs/>
        </w:rPr>
      </w:pPr>
    </w:p>
    <w:p w14:paraId="265D627A" w14:textId="102A8D2B" w:rsidR="00D22539" w:rsidRPr="00914AE4" w:rsidRDefault="00D22539" w:rsidP="00C75135">
      <w:pPr>
        <w:pStyle w:val="Heading2"/>
        <w:rPr>
          <w:b/>
        </w:rPr>
      </w:pPr>
      <w:bookmarkStart w:id="3" w:name="_Toc187242794"/>
      <w:r w:rsidRPr="00914AE4">
        <w:rPr>
          <w:b/>
        </w:rPr>
        <w:t>Item 10 :Mechanisms for planning, monitoring, reporting and review</w:t>
      </w:r>
      <w:bookmarkEnd w:id="3"/>
    </w:p>
    <w:p w14:paraId="4B765508" w14:textId="77777777" w:rsidR="00D22539" w:rsidRPr="00914AE4" w:rsidRDefault="00D22539" w:rsidP="00D22539">
      <w:pPr>
        <w:tabs>
          <w:tab w:val="left" w:pos="1008"/>
        </w:tabs>
        <w:jc w:val="both"/>
        <w:rPr>
          <w:rFonts w:ascii="Century Gothic" w:hAnsi="Century Gothic"/>
          <w:b/>
          <w:bCs/>
        </w:rPr>
      </w:pPr>
    </w:p>
    <w:p w14:paraId="76669AF6" w14:textId="4EFBE6EF" w:rsidR="00B73D68" w:rsidRPr="00C75135" w:rsidRDefault="00B73D68" w:rsidP="00D22539">
      <w:pPr>
        <w:tabs>
          <w:tab w:val="left" w:pos="1008"/>
        </w:tabs>
        <w:jc w:val="both"/>
        <w:rPr>
          <w:rFonts w:ascii="Century Gothic" w:hAnsi="Century Gothic"/>
          <w:bCs/>
        </w:rPr>
      </w:pPr>
      <w:r w:rsidRPr="00C75135">
        <w:rPr>
          <w:rFonts w:ascii="Century Gothic" w:hAnsi="Century Gothic"/>
          <w:bCs/>
        </w:rPr>
        <w:t>The Kunming-Montreal Global Biodiversity Framework is supported by a monitoring framework and an enhanced multidimensional approach to planning, monitoring, reporting and review, adopted in decisions 15/5 and 15/6, respectively.</w:t>
      </w:r>
    </w:p>
    <w:p w14:paraId="30D7307F" w14:textId="6CD16CC8" w:rsidR="00B73D68" w:rsidRPr="00C75135" w:rsidRDefault="00B73D68" w:rsidP="00D22539">
      <w:pPr>
        <w:tabs>
          <w:tab w:val="left" w:pos="1008"/>
        </w:tabs>
        <w:jc w:val="both"/>
        <w:rPr>
          <w:rFonts w:ascii="Century Gothic" w:hAnsi="Century Gothic"/>
          <w:bCs/>
        </w:rPr>
      </w:pPr>
      <w:r w:rsidRPr="00C75135">
        <w:rPr>
          <w:rFonts w:ascii="Century Gothic" w:hAnsi="Century Gothic"/>
          <w:bCs/>
        </w:rPr>
        <w:t xml:space="preserve">Also in its decision 15/5, the Conference of the Parties established the Ad Hoc Technical Expert Group on Indicators to </w:t>
      </w:r>
      <w:r w:rsidR="007F5F06" w:rsidRPr="00C75135">
        <w:rPr>
          <w:rFonts w:ascii="Century Gothic" w:hAnsi="Century Gothic"/>
          <w:bCs/>
        </w:rPr>
        <w:t>advice</w:t>
      </w:r>
      <w:r w:rsidRPr="00C75135">
        <w:rPr>
          <w:rFonts w:ascii="Century Gothic" w:hAnsi="Century Gothic"/>
          <w:bCs/>
        </w:rPr>
        <w:t xml:space="preserve"> on the further operationalization of the monitoring framework for the Kunming-Montreal Global Biodiversity Framework.</w:t>
      </w:r>
    </w:p>
    <w:p w14:paraId="38B7E8CA" w14:textId="77777777" w:rsidR="00B73D68" w:rsidRPr="00C75135" w:rsidRDefault="00B73D68" w:rsidP="00D22539">
      <w:pPr>
        <w:tabs>
          <w:tab w:val="left" w:pos="1008"/>
        </w:tabs>
        <w:jc w:val="both"/>
        <w:rPr>
          <w:rFonts w:ascii="Century Gothic" w:hAnsi="Century Gothic"/>
          <w:bCs/>
        </w:rPr>
      </w:pPr>
      <w:r w:rsidRPr="00C75135">
        <w:rPr>
          <w:rFonts w:ascii="Century Gothic" w:hAnsi="Century Gothic"/>
          <w:bCs/>
        </w:rPr>
        <w:t xml:space="preserve">On Monday, 21 October, Working Group I initiated discussions on the Global Biodiversity Framework (GBF) monitoring framework and mechanisms for planning, monitoring, reporting, and review (PMRR), establishing a contact group to address unresolved matters, co-chaired by Gillian Guthrie (Jamaica) and Carolina Caceres (Canada). Co-facilitated by Ntakadzeni Tshidada (South Africa) and Anne Teller (EU), the group met on multiple days to discuss </w:t>
      </w:r>
      <w:r w:rsidRPr="00C75135">
        <w:rPr>
          <w:rFonts w:ascii="Century Gothic" w:hAnsi="Century Gothic"/>
          <w:bCs/>
        </w:rPr>
        <w:lastRenderedPageBreak/>
        <w:t xml:space="preserve">procedures, content, and information sources for the global review, alongside guidance on GBF indicators. </w:t>
      </w:r>
    </w:p>
    <w:p w14:paraId="439CEEB2" w14:textId="10F452E5" w:rsidR="00B73D68" w:rsidRPr="00C75135" w:rsidRDefault="00B73D68" w:rsidP="00D22539">
      <w:pPr>
        <w:tabs>
          <w:tab w:val="left" w:pos="1008"/>
        </w:tabs>
        <w:jc w:val="both"/>
        <w:rPr>
          <w:rFonts w:ascii="Century Gothic" w:hAnsi="Century Gothic"/>
          <w:b/>
          <w:bCs/>
        </w:rPr>
      </w:pPr>
      <w:r w:rsidRPr="00C75135">
        <w:rPr>
          <w:rFonts w:ascii="Century Gothic" w:hAnsi="Century Gothic"/>
          <w:b/>
          <w:bCs/>
        </w:rPr>
        <w:t>Outcomes</w:t>
      </w:r>
    </w:p>
    <w:p w14:paraId="15A8E668" w14:textId="026A5073" w:rsidR="00D22539" w:rsidRPr="00C75135" w:rsidRDefault="00B73D68" w:rsidP="00D22539">
      <w:pPr>
        <w:tabs>
          <w:tab w:val="left" w:pos="1008"/>
        </w:tabs>
        <w:jc w:val="both"/>
        <w:rPr>
          <w:rFonts w:ascii="Century Gothic" w:hAnsi="Century Gothic"/>
          <w:bCs/>
        </w:rPr>
      </w:pPr>
      <w:r w:rsidRPr="00C75135">
        <w:rPr>
          <w:rFonts w:ascii="Century Gothic" w:hAnsi="Century Gothic"/>
          <w:bCs/>
        </w:rPr>
        <w:t>On Wednesday, 30 October, Working Group I approved most elements of the draft monitoring decision, requesting the Global Environment Facility (GEF) to provide financial resources for national biodiversity monitoring systems and supporting community-based monitoring. While most annexes were accepted with minor amendments, unresolved brackets remained on certain indicators related to pesticides and sustainable consumption. The draft decision was ultimately bracketed due to the Democratic Republic of the Congo’s intervention, emphasizing the need for the PMRR, resource mobilization, and financial mechanisms to be adopted as a comprehensive package.</w:t>
      </w:r>
    </w:p>
    <w:p w14:paraId="6797B3FD" w14:textId="77777777" w:rsidR="00D22539" w:rsidRPr="00C75135" w:rsidRDefault="00D22539" w:rsidP="00B643B2">
      <w:pPr>
        <w:tabs>
          <w:tab w:val="left" w:pos="1008"/>
        </w:tabs>
        <w:jc w:val="both"/>
        <w:rPr>
          <w:rFonts w:ascii="Century Gothic" w:hAnsi="Century Gothic"/>
          <w:b/>
          <w:bCs/>
        </w:rPr>
      </w:pPr>
    </w:p>
    <w:p w14:paraId="41E0F0AA" w14:textId="6DE98B6D" w:rsidR="00D22539" w:rsidRPr="00C75135" w:rsidRDefault="00B73D68" w:rsidP="00B643B2">
      <w:pPr>
        <w:tabs>
          <w:tab w:val="left" w:pos="1008"/>
        </w:tabs>
        <w:jc w:val="both"/>
        <w:rPr>
          <w:rFonts w:ascii="Century Gothic" w:hAnsi="Century Gothic"/>
          <w:b/>
          <w:bCs/>
        </w:rPr>
      </w:pPr>
      <w:r w:rsidRPr="00C75135">
        <w:rPr>
          <w:rFonts w:ascii="Century Gothic" w:hAnsi="Century Gothic"/>
          <w:b/>
          <w:bCs/>
        </w:rPr>
        <w:t>Interventions by Kenya’s delegation</w:t>
      </w:r>
    </w:p>
    <w:p w14:paraId="6D7D77FB" w14:textId="494D92C2" w:rsidR="00D22539" w:rsidRPr="00C75135" w:rsidRDefault="00F1790C" w:rsidP="00B643B2">
      <w:pPr>
        <w:tabs>
          <w:tab w:val="left" w:pos="1008"/>
        </w:tabs>
        <w:jc w:val="both"/>
        <w:rPr>
          <w:rFonts w:ascii="Century Gothic" w:hAnsi="Century Gothic"/>
          <w:bCs/>
        </w:rPr>
      </w:pPr>
      <w:r w:rsidRPr="00C75135">
        <w:rPr>
          <w:rFonts w:ascii="Century Gothic" w:hAnsi="Century Gothic"/>
          <w:bCs/>
        </w:rPr>
        <w:t>Supporting the DRC’s position, Kenya advocated for a holistic approach in adopting mechanisms for PMRR, resource mobilization, and finance</w:t>
      </w:r>
    </w:p>
    <w:p w14:paraId="4003F7F7" w14:textId="77777777" w:rsidR="00F1790C" w:rsidRPr="00C75135" w:rsidRDefault="00F1790C" w:rsidP="00B643B2">
      <w:pPr>
        <w:tabs>
          <w:tab w:val="left" w:pos="1008"/>
        </w:tabs>
        <w:jc w:val="both"/>
        <w:rPr>
          <w:rFonts w:ascii="Century Gothic" w:hAnsi="Century Gothic"/>
          <w:bCs/>
        </w:rPr>
      </w:pPr>
    </w:p>
    <w:p w14:paraId="734C9040" w14:textId="182C26E5" w:rsidR="00F1790C" w:rsidRPr="00F1790C" w:rsidRDefault="00F1790C" w:rsidP="00B643B2">
      <w:pPr>
        <w:tabs>
          <w:tab w:val="left" w:pos="1008"/>
        </w:tabs>
        <w:jc w:val="both"/>
        <w:rPr>
          <w:rFonts w:ascii="Century Gothic" w:hAnsi="Century Gothic"/>
          <w:b/>
          <w:bCs/>
        </w:rPr>
      </w:pPr>
      <w:r w:rsidRPr="00F1790C">
        <w:rPr>
          <w:rFonts w:ascii="Century Gothic" w:hAnsi="Century Gothic"/>
          <w:b/>
          <w:bCs/>
        </w:rPr>
        <w:t>Recommendation</w:t>
      </w:r>
      <w:r w:rsidR="00941152">
        <w:rPr>
          <w:rFonts w:ascii="Century Gothic" w:hAnsi="Century Gothic"/>
          <w:b/>
          <w:bCs/>
        </w:rPr>
        <w:t>s</w:t>
      </w:r>
      <w:r w:rsidRPr="00F1790C">
        <w:rPr>
          <w:rFonts w:ascii="Century Gothic" w:hAnsi="Century Gothic"/>
          <w:b/>
          <w:bCs/>
        </w:rPr>
        <w:t xml:space="preserve"> </w:t>
      </w:r>
    </w:p>
    <w:p w14:paraId="5B46D911" w14:textId="77777777" w:rsidR="00F1790C" w:rsidRPr="00F1790C" w:rsidRDefault="00F1790C" w:rsidP="00B643B2">
      <w:pPr>
        <w:tabs>
          <w:tab w:val="left" w:pos="1008"/>
        </w:tabs>
        <w:jc w:val="both"/>
        <w:rPr>
          <w:rFonts w:ascii="Century Gothic" w:hAnsi="Century Gothic"/>
          <w:bCs/>
        </w:rPr>
      </w:pPr>
    </w:p>
    <w:p w14:paraId="62300611" w14:textId="73BEDA4D" w:rsidR="00B643B2" w:rsidRDefault="00F1790C" w:rsidP="00B643B2">
      <w:pPr>
        <w:tabs>
          <w:tab w:val="left" w:pos="1008"/>
        </w:tabs>
        <w:jc w:val="both"/>
        <w:rPr>
          <w:rFonts w:ascii="Century Gothic" w:hAnsi="Century Gothic"/>
          <w:bCs/>
        </w:rPr>
      </w:pPr>
      <w:r w:rsidRPr="00F1790C">
        <w:rPr>
          <w:rFonts w:ascii="Century Gothic" w:hAnsi="Century Gothic"/>
          <w:bCs/>
        </w:rPr>
        <w:t>Further strengthening its national biodiversity monitoring systems by seeking financ</w:t>
      </w:r>
      <w:r>
        <w:rPr>
          <w:rFonts w:ascii="Century Gothic" w:hAnsi="Century Gothic"/>
          <w:bCs/>
        </w:rPr>
        <w:t xml:space="preserve">ial and technical support </w:t>
      </w:r>
      <w:r w:rsidR="00315782">
        <w:rPr>
          <w:rFonts w:ascii="Century Gothic" w:hAnsi="Century Gothic"/>
          <w:bCs/>
        </w:rPr>
        <w:t xml:space="preserve">from </w:t>
      </w:r>
      <w:r w:rsidR="00315782" w:rsidRPr="00F1790C">
        <w:rPr>
          <w:rFonts w:ascii="Century Gothic" w:hAnsi="Century Gothic"/>
          <w:bCs/>
        </w:rPr>
        <w:t>the</w:t>
      </w:r>
      <w:r w:rsidRPr="00F1790C">
        <w:rPr>
          <w:rFonts w:ascii="Century Gothic" w:hAnsi="Century Gothic"/>
          <w:bCs/>
        </w:rPr>
        <w:t xml:space="preserve"> Gl</w:t>
      </w:r>
      <w:r>
        <w:rPr>
          <w:rFonts w:ascii="Century Gothic" w:hAnsi="Century Gothic"/>
          <w:bCs/>
        </w:rPr>
        <w:t>obal Environment Facility (GEF)</w:t>
      </w:r>
      <w:r w:rsidRPr="00F1790C">
        <w:rPr>
          <w:rFonts w:ascii="Century Gothic" w:hAnsi="Century Gothic"/>
          <w:bCs/>
        </w:rPr>
        <w:t>. This could ensure robust tracking of biodiversity targets and progress toward the GBF goals.</w:t>
      </w:r>
    </w:p>
    <w:p w14:paraId="6EC014BA" w14:textId="77777777" w:rsidR="00F1790C" w:rsidRDefault="00F1790C" w:rsidP="00B643B2">
      <w:pPr>
        <w:tabs>
          <w:tab w:val="left" w:pos="1008"/>
        </w:tabs>
        <w:jc w:val="both"/>
        <w:rPr>
          <w:rFonts w:ascii="Century Gothic" w:hAnsi="Century Gothic"/>
          <w:bCs/>
        </w:rPr>
      </w:pPr>
    </w:p>
    <w:p w14:paraId="59E807D3" w14:textId="705AE66B" w:rsidR="00F1790C" w:rsidRDefault="00315782" w:rsidP="00B643B2">
      <w:pPr>
        <w:tabs>
          <w:tab w:val="left" w:pos="1008"/>
        </w:tabs>
        <w:jc w:val="both"/>
        <w:rPr>
          <w:rFonts w:ascii="Century Gothic" w:hAnsi="Century Gothic"/>
          <w:bCs/>
        </w:rPr>
      </w:pPr>
      <w:r w:rsidRPr="00315782">
        <w:rPr>
          <w:rFonts w:ascii="Century Gothic" w:hAnsi="Century Gothic"/>
          <w:bCs/>
        </w:rPr>
        <w:t>Emphasizing the importance of community engagement, Kenya propose the development and support of community-based monitoring and information systems. This aligns with the encouragement for community involvement in decision 15/5, which would improve local data collection, increase accountability, and enhance awareness at the grassroots level.</w:t>
      </w:r>
    </w:p>
    <w:p w14:paraId="358104FE" w14:textId="77777777" w:rsidR="00F1790C" w:rsidRDefault="00F1790C" w:rsidP="00B643B2">
      <w:pPr>
        <w:tabs>
          <w:tab w:val="left" w:pos="1008"/>
        </w:tabs>
        <w:jc w:val="both"/>
        <w:rPr>
          <w:rFonts w:ascii="Century Gothic" w:hAnsi="Century Gothic"/>
          <w:bCs/>
        </w:rPr>
      </w:pPr>
    </w:p>
    <w:p w14:paraId="31A947DC" w14:textId="451362CB" w:rsidR="00F1790C" w:rsidRPr="0046278C" w:rsidRDefault="00315782" w:rsidP="00C75135">
      <w:pPr>
        <w:pStyle w:val="Heading2"/>
      </w:pPr>
      <w:bookmarkStart w:id="4" w:name="_Toc187242795"/>
      <w:r w:rsidRPr="0046278C">
        <w:t>Item 12 : Capacity-building and development, technical and scientific cooperation, clearing-house mechanism and knowledge management</w:t>
      </w:r>
      <w:bookmarkEnd w:id="4"/>
    </w:p>
    <w:p w14:paraId="4636969E" w14:textId="77777777" w:rsidR="00F1790C" w:rsidRDefault="00F1790C" w:rsidP="00B643B2">
      <w:pPr>
        <w:tabs>
          <w:tab w:val="left" w:pos="1008"/>
        </w:tabs>
        <w:jc w:val="both"/>
        <w:rPr>
          <w:rFonts w:ascii="Century Gothic" w:hAnsi="Century Gothic"/>
          <w:bCs/>
        </w:rPr>
      </w:pPr>
    </w:p>
    <w:p w14:paraId="373D011E" w14:textId="77777777" w:rsidR="00F1790C" w:rsidRDefault="00F1790C" w:rsidP="00B643B2">
      <w:pPr>
        <w:tabs>
          <w:tab w:val="left" w:pos="1008"/>
        </w:tabs>
        <w:jc w:val="both"/>
        <w:rPr>
          <w:rFonts w:ascii="Century Gothic" w:hAnsi="Century Gothic"/>
          <w:bCs/>
        </w:rPr>
      </w:pPr>
    </w:p>
    <w:p w14:paraId="5E657D43" w14:textId="77777777" w:rsidR="0046278C" w:rsidRPr="0046278C" w:rsidRDefault="0046278C" w:rsidP="0046278C">
      <w:pPr>
        <w:tabs>
          <w:tab w:val="left" w:pos="1008"/>
        </w:tabs>
        <w:jc w:val="both"/>
        <w:rPr>
          <w:rFonts w:ascii="Century Gothic" w:hAnsi="Century Gothic"/>
          <w:bCs/>
        </w:rPr>
      </w:pPr>
      <w:r w:rsidRPr="0046278C">
        <w:rPr>
          <w:rFonts w:ascii="Century Gothic" w:hAnsi="Century Gothic"/>
          <w:bCs/>
        </w:rPr>
        <w:t xml:space="preserve">On 22 October, Working Group I (WG I) began discussions on two draft decisions concerning </w:t>
      </w:r>
      <w:r w:rsidRPr="0046278C">
        <w:rPr>
          <w:rFonts w:ascii="Century Gothic" w:hAnsi="Century Gothic"/>
          <w:b/>
          <w:bCs/>
        </w:rPr>
        <w:t>capacity-building and development, technical and scientific cooperation (TSC),</w:t>
      </w:r>
      <w:r w:rsidRPr="0046278C">
        <w:rPr>
          <w:rFonts w:ascii="Century Gothic" w:hAnsi="Century Gothic"/>
          <w:bCs/>
        </w:rPr>
        <w:t xml:space="preserve"> the </w:t>
      </w:r>
      <w:r w:rsidRPr="0046278C">
        <w:rPr>
          <w:rFonts w:ascii="Century Gothic" w:hAnsi="Century Gothic"/>
          <w:b/>
          <w:bCs/>
        </w:rPr>
        <w:t>Clearing-House Mechanism (CHM), and knowledge management</w:t>
      </w:r>
      <w:r w:rsidRPr="0046278C">
        <w:rPr>
          <w:rFonts w:ascii="Century Gothic" w:hAnsi="Century Gothic"/>
          <w:bCs/>
        </w:rPr>
        <w:t xml:space="preserve">. A contact group, co-chaired by Mukondi Matshusa (South Africa) and Holly Kelley-Weil (UK), was established and met on 22, 23, and 28 October to address revisions. Delegates reviewed updated drafts on 31 October, agreeing to adjust language on financial support from the Global Environment Facility (GEF) for capacity-building in all eligible countries and removing references to a second call for regional support centers. The decision on CHM maintained data </w:t>
      </w:r>
      <w:r w:rsidRPr="0046278C">
        <w:rPr>
          <w:rFonts w:ascii="Century Gothic" w:hAnsi="Century Gothic"/>
          <w:bCs/>
        </w:rPr>
        <w:lastRenderedPageBreak/>
        <w:t>sovereignty provisions while deleting references to specific groups, emphasizing support for country-driven projects and the inclusion of all eligible parties.</w:t>
      </w:r>
    </w:p>
    <w:p w14:paraId="768353B2" w14:textId="6D8EC88E" w:rsidR="0046278C" w:rsidRPr="00BE0236" w:rsidRDefault="00BE0236" w:rsidP="0046278C">
      <w:pPr>
        <w:tabs>
          <w:tab w:val="left" w:pos="1008"/>
        </w:tabs>
        <w:jc w:val="both"/>
        <w:rPr>
          <w:rFonts w:ascii="Century Gothic" w:hAnsi="Century Gothic"/>
          <w:b/>
          <w:bCs/>
        </w:rPr>
      </w:pPr>
      <w:r w:rsidRPr="00BE0236">
        <w:rPr>
          <w:rFonts w:ascii="Century Gothic" w:hAnsi="Century Gothic"/>
          <w:b/>
          <w:bCs/>
        </w:rPr>
        <w:t xml:space="preserve">Outcome </w:t>
      </w:r>
    </w:p>
    <w:p w14:paraId="272EC422" w14:textId="77777777" w:rsidR="0046278C" w:rsidRDefault="0046278C" w:rsidP="0046278C">
      <w:pPr>
        <w:tabs>
          <w:tab w:val="left" w:pos="1008"/>
        </w:tabs>
        <w:jc w:val="both"/>
        <w:rPr>
          <w:rFonts w:ascii="Century Gothic" w:hAnsi="Century Gothic"/>
          <w:bCs/>
        </w:rPr>
      </w:pPr>
      <w:r w:rsidRPr="0046278C">
        <w:rPr>
          <w:rFonts w:ascii="Century Gothic" w:hAnsi="Century Gothic"/>
          <w:bCs/>
        </w:rPr>
        <w:t>In the final decisions, the COP adopted strategies on capacity-building and TSC, with provisions for monitoring progress alongside the Global Biodiversity Framework (GBF). The COP mandated the Informal Advisory Group to assess and address technological and institutional capacity gaps, with an independent evaluation scheduled for 2029. For the CHM, the COP adopted a 2024-2030 work program, encouraging parties to nominate national CHM focal points and to contribute financial resources for capacity-building activities. The COP also agreed on a knowledge management strategy supporting GBF implementation, with the Secretariat tasked with collaborating on global standards and vocabularies to enhance biodiversity knowledge sharing.</w:t>
      </w:r>
    </w:p>
    <w:p w14:paraId="3B0663B6" w14:textId="22C931E9" w:rsidR="00941152" w:rsidRPr="0046278C" w:rsidRDefault="00941152" w:rsidP="0046278C">
      <w:pPr>
        <w:tabs>
          <w:tab w:val="left" w:pos="1008"/>
        </w:tabs>
        <w:jc w:val="both"/>
        <w:rPr>
          <w:rFonts w:ascii="Century Gothic" w:hAnsi="Century Gothic"/>
          <w:bCs/>
        </w:rPr>
      </w:pPr>
      <w:r w:rsidRPr="00941152">
        <w:rPr>
          <w:rFonts w:ascii="Century Gothic" w:hAnsi="Century Gothic"/>
          <w:bCs/>
        </w:rPr>
        <w:t>The decision contains two annexes: on the programme of work for the CHM for the period 2024-2030, and on the knowledge management strategy to support the implementation of the GBF.</w:t>
      </w:r>
    </w:p>
    <w:p w14:paraId="4827188E" w14:textId="77777777" w:rsidR="0046278C" w:rsidRPr="0046278C" w:rsidRDefault="0046278C" w:rsidP="0046278C">
      <w:pPr>
        <w:tabs>
          <w:tab w:val="left" w:pos="1008"/>
        </w:tabs>
        <w:jc w:val="both"/>
        <w:rPr>
          <w:rFonts w:ascii="Century Gothic" w:hAnsi="Century Gothic"/>
          <w:bCs/>
        </w:rPr>
      </w:pPr>
    </w:p>
    <w:p w14:paraId="06EA5AD0" w14:textId="1E615CA7" w:rsidR="00BE0236" w:rsidRDefault="00BE0236" w:rsidP="00BE0236">
      <w:pPr>
        <w:rPr>
          <w:rFonts w:ascii="Century Gothic" w:hAnsi="Century Gothic"/>
          <w:b/>
          <w:bCs/>
        </w:rPr>
      </w:pPr>
      <w:r w:rsidRPr="00BE0236">
        <w:rPr>
          <w:rFonts w:ascii="Century Gothic" w:hAnsi="Century Gothic"/>
          <w:b/>
          <w:bCs/>
        </w:rPr>
        <w:t>Recommendation</w:t>
      </w:r>
      <w:r w:rsidR="00941152">
        <w:rPr>
          <w:rFonts w:ascii="Century Gothic" w:hAnsi="Century Gothic"/>
          <w:b/>
          <w:bCs/>
        </w:rPr>
        <w:t>s</w:t>
      </w:r>
      <w:r w:rsidRPr="00BE0236">
        <w:rPr>
          <w:rFonts w:ascii="Century Gothic" w:hAnsi="Century Gothic"/>
          <w:b/>
          <w:bCs/>
        </w:rPr>
        <w:t xml:space="preserve"> </w:t>
      </w:r>
    </w:p>
    <w:p w14:paraId="0909BCBA" w14:textId="12B6C6AF" w:rsidR="00BE0236" w:rsidRPr="00BE0236" w:rsidRDefault="00BE0236" w:rsidP="00BE0236">
      <w:pPr>
        <w:rPr>
          <w:rFonts w:ascii="Century Gothic" w:hAnsi="Century Gothic"/>
          <w:bCs/>
        </w:rPr>
      </w:pPr>
      <w:r w:rsidRPr="00BE0236">
        <w:rPr>
          <w:rFonts w:ascii="Century Gothic" w:hAnsi="Century Gothic"/>
          <w:bCs/>
        </w:rPr>
        <w:t xml:space="preserve">Kenya emphasize continued engagement with the Global Environment Facility (GEF) to secure financial support for capacity-building projects that align with National </w:t>
      </w:r>
      <w:r w:rsidR="00941152" w:rsidRPr="00BE0236">
        <w:rPr>
          <w:rFonts w:ascii="Century Gothic" w:hAnsi="Century Gothic"/>
          <w:bCs/>
        </w:rPr>
        <w:t>Strategy Biodiversity</w:t>
      </w:r>
      <w:r w:rsidRPr="00BE0236">
        <w:rPr>
          <w:rFonts w:ascii="Century Gothic" w:hAnsi="Century Gothic"/>
          <w:bCs/>
        </w:rPr>
        <w:t xml:space="preserve"> Action Plan. </w:t>
      </w:r>
    </w:p>
    <w:p w14:paraId="67AA9F92" w14:textId="0B50BE0F" w:rsidR="00BE0236" w:rsidRPr="00BE0236" w:rsidRDefault="00BE0236" w:rsidP="00BE0236">
      <w:pPr>
        <w:rPr>
          <w:rFonts w:ascii="Century Gothic" w:hAnsi="Century Gothic"/>
          <w:bCs/>
        </w:rPr>
      </w:pPr>
      <w:r w:rsidRPr="00BE0236">
        <w:rPr>
          <w:rFonts w:ascii="Century Gothic" w:hAnsi="Century Gothic"/>
          <w:bCs/>
        </w:rPr>
        <w:t>Kenya encourage the identification and addressing of technological and institutional capability gaps, in line with COP mandates, to build a robust foundation for biodiversity monitoring and implementation.</w:t>
      </w:r>
    </w:p>
    <w:p w14:paraId="7625CCDD" w14:textId="77777777" w:rsidR="0046278C" w:rsidRDefault="0046278C" w:rsidP="00B643B2">
      <w:pPr>
        <w:tabs>
          <w:tab w:val="left" w:pos="1008"/>
        </w:tabs>
        <w:jc w:val="both"/>
        <w:rPr>
          <w:rFonts w:ascii="Century Gothic" w:hAnsi="Century Gothic"/>
          <w:bCs/>
        </w:rPr>
      </w:pPr>
    </w:p>
    <w:p w14:paraId="3E7D55DB" w14:textId="609DEDA9" w:rsidR="00BE0236" w:rsidRDefault="00BE0236" w:rsidP="00B643B2">
      <w:pPr>
        <w:tabs>
          <w:tab w:val="left" w:pos="1008"/>
        </w:tabs>
        <w:jc w:val="both"/>
        <w:rPr>
          <w:rFonts w:ascii="Century Gothic" w:hAnsi="Century Gothic"/>
          <w:bCs/>
        </w:rPr>
      </w:pPr>
      <w:r w:rsidRPr="00BE0236">
        <w:rPr>
          <w:rFonts w:ascii="Century Gothic" w:hAnsi="Century Gothic"/>
          <w:bCs/>
        </w:rPr>
        <w:t xml:space="preserve">Promote National CHM Focal Points and Knowledge Management: By </w:t>
      </w:r>
      <w:r>
        <w:rPr>
          <w:rFonts w:ascii="Century Gothic" w:hAnsi="Century Gothic"/>
          <w:bCs/>
        </w:rPr>
        <w:t xml:space="preserve">Strengthening the </w:t>
      </w:r>
      <w:r w:rsidRPr="00BE0236">
        <w:rPr>
          <w:rFonts w:ascii="Century Gothic" w:hAnsi="Century Gothic"/>
          <w:bCs/>
        </w:rPr>
        <w:t>national focal point for the</w:t>
      </w:r>
      <w:r>
        <w:rPr>
          <w:rFonts w:ascii="Century Gothic" w:hAnsi="Century Gothic"/>
          <w:bCs/>
        </w:rPr>
        <w:t xml:space="preserve"> Clearing-House Mechanism (CHM) at NEMA </w:t>
      </w:r>
      <w:r w:rsidR="00941152">
        <w:rPr>
          <w:rFonts w:ascii="Century Gothic" w:hAnsi="Century Gothic"/>
          <w:bCs/>
        </w:rPr>
        <w:t>by putting in place mechanisms to collect data and information from stakeholders.</w:t>
      </w:r>
    </w:p>
    <w:p w14:paraId="23313EFC" w14:textId="45A29233" w:rsidR="0046278C" w:rsidRDefault="00BE0236" w:rsidP="00B643B2">
      <w:pPr>
        <w:tabs>
          <w:tab w:val="left" w:pos="1008"/>
        </w:tabs>
        <w:jc w:val="both"/>
        <w:rPr>
          <w:rFonts w:ascii="Century Gothic" w:hAnsi="Century Gothic"/>
          <w:bCs/>
        </w:rPr>
      </w:pPr>
      <w:r w:rsidRPr="00BE0236">
        <w:rPr>
          <w:rFonts w:ascii="Century Gothic" w:hAnsi="Century Gothic"/>
          <w:bCs/>
        </w:rPr>
        <w:t xml:space="preserve"> Kenya facilitate data sovereignty, ensure relevant national and local data sharing, and enhance knowledge exchange. Participation in the 2024-2030 CHM program and knowledge management strategy can improve Kenya's biodiversity data management and international reporting.</w:t>
      </w:r>
    </w:p>
    <w:p w14:paraId="334A1766" w14:textId="123BE232" w:rsidR="0046278C" w:rsidRDefault="00941152" w:rsidP="00B643B2">
      <w:pPr>
        <w:tabs>
          <w:tab w:val="left" w:pos="1008"/>
        </w:tabs>
        <w:jc w:val="both"/>
        <w:rPr>
          <w:rFonts w:ascii="Century Gothic" w:hAnsi="Century Gothic"/>
          <w:bCs/>
        </w:rPr>
      </w:pPr>
      <w:r>
        <w:rPr>
          <w:rFonts w:ascii="Century Gothic" w:hAnsi="Century Gothic"/>
          <w:bCs/>
        </w:rPr>
        <w:t>F</w:t>
      </w:r>
      <w:r w:rsidRPr="00941152">
        <w:rPr>
          <w:rFonts w:ascii="Century Gothic" w:hAnsi="Century Gothic"/>
          <w:bCs/>
        </w:rPr>
        <w:t>oster a knowledge-sharing culture that supports GBF implementation.</w:t>
      </w:r>
    </w:p>
    <w:p w14:paraId="3C707354" w14:textId="77777777" w:rsidR="0046278C" w:rsidRDefault="0046278C" w:rsidP="00B643B2">
      <w:pPr>
        <w:tabs>
          <w:tab w:val="left" w:pos="1008"/>
        </w:tabs>
        <w:jc w:val="both"/>
        <w:rPr>
          <w:rFonts w:ascii="Century Gothic" w:hAnsi="Century Gothic"/>
          <w:bCs/>
        </w:rPr>
      </w:pPr>
    </w:p>
    <w:p w14:paraId="41053E19" w14:textId="3981938D" w:rsidR="0046278C" w:rsidRPr="00941152" w:rsidRDefault="00941152" w:rsidP="00C75135">
      <w:pPr>
        <w:pStyle w:val="Heading2"/>
      </w:pPr>
      <w:bookmarkStart w:id="5" w:name="_Toc187242796"/>
      <w:r w:rsidRPr="00941152">
        <w:t xml:space="preserve">Item 15 </w:t>
      </w:r>
      <w:r>
        <w:t xml:space="preserve">: </w:t>
      </w:r>
      <w:r w:rsidRPr="00941152">
        <w:t>Communications, education and public awareness</w:t>
      </w:r>
      <w:bookmarkEnd w:id="5"/>
    </w:p>
    <w:p w14:paraId="3281D795" w14:textId="77777777" w:rsidR="0046278C" w:rsidRDefault="0046278C" w:rsidP="00B643B2">
      <w:pPr>
        <w:tabs>
          <w:tab w:val="left" w:pos="1008"/>
        </w:tabs>
        <w:jc w:val="both"/>
        <w:rPr>
          <w:rFonts w:ascii="Century Gothic" w:hAnsi="Century Gothic"/>
          <w:bCs/>
        </w:rPr>
      </w:pPr>
    </w:p>
    <w:p w14:paraId="5564E014" w14:textId="77777777" w:rsidR="00F84130" w:rsidRPr="00F84130" w:rsidRDefault="00F84130" w:rsidP="00F84130">
      <w:pPr>
        <w:tabs>
          <w:tab w:val="left" w:pos="1008"/>
        </w:tabs>
        <w:jc w:val="both"/>
        <w:rPr>
          <w:rFonts w:ascii="Century Gothic" w:hAnsi="Century Gothic"/>
          <w:bCs/>
        </w:rPr>
      </w:pPr>
      <w:r w:rsidRPr="00F84130">
        <w:rPr>
          <w:rFonts w:ascii="Century Gothic" w:hAnsi="Century Gothic"/>
          <w:bCs/>
        </w:rPr>
        <w:t xml:space="preserve">On 1 November, the Conference of the Parties (COP) finalized discussions on the Communication, Education, and Public Awareness (CEPA) program. Working Group I (WG I) agreed to align CEPA’s program of work with the Global Biodiversity Framework (GBF), emphasizing the need for adequate resources to support developing countries in implementing the GBF and CEPA actions. </w:t>
      </w:r>
      <w:r w:rsidRPr="00F84130">
        <w:rPr>
          <w:rFonts w:ascii="Century Gothic" w:hAnsi="Century Gothic"/>
          <w:bCs/>
        </w:rPr>
        <w:lastRenderedPageBreak/>
        <w:t>Delegates endorsed “transformative actions” to implement the GBF rather than the broader concept of “transformative change.”</w:t>
      </w:r>
    </w:p>
    <w:p w14:paraId="19F54D0A" w14:textId="27107BF3" w:rsidR="00F84130" w:rsidRPr="00595143" w:rsidRDefault="00595143" w:rsidP="00F84130">
      <w:pPr>
        <w:tabs>
          <w:tab w:val="left" w:pos="1008"/>
        </w:tabs>
        <w:jc w:val="both"/>
        <w:rPr>
          <w:rFonts w:ascii="Century Gothic" w:hAnsi="Century Gothic"/>
          <w:b/>
          <w:bCs/>
        </w:rPr>
      </w:pPr>
      <w:r w:rsidRPr="00595143">
        <w:rPr>
          <w:rFonts w:ascii="Century Gothic" w:hAnsi="Century Gothic"/>
          <w:b/>
          <w:bCs/>
        </w:rPr>
        <w:t>Outcome</w:t>
      </w:r>
    </w:p>
    <w:p w14:paraId="119E31B5" w14:textId="72993014" w:rsidR="00F84130" w:rsidRDefault="00F84130" w:rsidP="00F84130">
      <w:pPr>
        <w:tabs>
          <w:tab w:val="left" w:pos="1008"/>
        </w:tabs>
        <w:jc w:val="both"/>
        <w:rPr>
          <w:rFonts w:ascii="Century Gothic" w:hAnsi="Century Gothic"/>
          <w:bCs/>
        </w:rPr>
      </w:pPr>
      <w:r w:rsidRPr="00F84130">
        <w:rPr>
          <w:rFonts w:ascii="Century Gothic" w:hAnsi="Century Gothic"/>
          <w:bCs/>
        </w:rPr>
        <w:t>In the final decision (CBD/COP/16/L.29), the COP established a flexible, voluntary framework encouraging parties to implement national actions aligning CEPA with the GBF. UNESCO, IPBES, and the Global Youth Biodiversity Network (GYBN) were invited to collaborate on developing a global biodiversity education plan. The COP urged parties and stakeholders to contribute resources to CEPA, while the Secretariat was tasked with collaborating on a global action plan, aligning the CEPA work program with the GBF, and submitting a progress report by COP 17.</w:t>
      </w:r>
    </w:p>
    <w:p w14:paraId="1054E834" w14:textId="77777777" w:rsidR="00F84130" w:rsidRDefault="00F84130" w:rsidP="00B643B2">
      <w:pPr>
        <w:tabs>
          <w:tab w:val="left" w:pos="1008"/>
        </w:tabs>
        <w:jc w:val="both"/>
        <w:rPr>
          <w:rFonts w:ascii="Century Gothic" w:hAnsi="Century Gothic"/>
          <w:bCs/>
        </w:rPr>
      </w:pPr>
    </w:p>
    <w:p w14:paraId="3ACAB877" w14:textId="67AFA955" w:rsidR="00595143" w:rsidRPr="00595143" w:rsidRDefault="00595143" w:rsidP="00595143">
      <w:pPr>
        <w:tabs>
          <w:tab w:val="left" w:pos="1008"/>
        </w:tabs>
        <w:jc w:val="both"/>
        <w:rPr>
          <w:rFonts w:ascii="Century Gothic" w:hAnsi="Century Gothic"/>
          <w:bCs/>
        </w:rPr>
      </w:pPr>
      <w:r w:rsidRPr="00595143">
        <w:rPr>
          <w:rFonts w:ascii="Century Gothic" w:hAnsi="Century Gothic"/>
          <w:b/>
          <w:bCs/>
        </w:rPr>
        <w:t>Recommendations</w:t>
      </w:r>
      <w:r w:rsidRPr="00595143">
        <w:rPr>
          <w:rFonts w:ascii="Century Gothic" w:hAnsi="Century Gothic"/>
          <w:bCs/>
        </w:rPr>
        <w:t xml:space="preserve"> </w:t>
      </w:r>
    </w:p>
    <w:p w14:paraId="0E1377B6" w14:textId="3AC185C4" w:rsidR="00595143" w:rsidRPr="00595143" w:rsidRDefault="00595143" w:rsidP="00595143">
      <w:pPr>
        <w:tabs>
          <w:tab w:val="left" w:pos="1008"/>
        </w:tabs>
        <w:jc w:val="both"/>
        <w:rPr>
          <w:rFonts w:ascii="Century Gothic" w:hAnsi="Century Gothic"/>
          <w:bCs/>
        </w:rPr>
      </w:pPr>
      <w:r w:rsidRPr="00595143">
        <w:rPr>
          <w:rFonts w:ascii="Century Gothic" w:hAnsi="Century Gothic"/>
          <w:bCs/>
        </w:rPr>
        <w:t>Kenya prioritize securing resources for CEPA initiatives, specifically targeting actions that align with the GBF. This could involve leveraging international funding and partnerships to support communication, education, and awareness programs at both national and community levels.</w:t>
      </w:r>
    </w:p>
    <w:p w14:paraId="1BE449BA" w14:textId="77777777" w:rsidR="00595143" w:rsidRPr="00595143" w:rsidRDefault="00595143" w:rsidP="00595143">
      <w:pPr>
        <w:tabs>
          <w:tab w:val="left" w:pos="1008"/>
        </w:tabs>
        <w:jc w:val="both"/>
        <w:rPr>
          <w:rFonts w:ascii="Century Gothic" w:hAnsi="Century Gothic"/>
          <w:bCs/>
        </w:rPr>
      </w:pPr>
    </w:p>
    <w:p w14:paraId="521AC8D8" w14:textId="77777777" w:rsidR="00595143" w:rsidRDefault="00595143" w:rsidP="00595143">
      <w:pPr>
        <w:tabs>
          <w:tab w:val="left" w:pos="1008"/>
        </w:tabs>
        <w:jc w:val="both"/>
        <w:rPr>
          <w:rFonts w:ascii="Century Gothic" w:hAnsi="Century Gothic"/>
          <w:bCs/>
        </w:rPr>
      </w:pPr>
      <w:r>
        <w:rPr>
          <w:rFonts w:ascii="Century Gothic" w:hAnsi="Century Gothic"/>
          <w:bCs/>
        </w:rPr>
        <w:t xml:space="preserve">Kenya </w:t>
      </w:r>
      <w:r w:rsidRPr="00595143">
        <w:rPr>
          <w:rFonts w:ascii="Century Gothic" w:hAnsi="Century Gothic"/>
          <w:bCs/>
        </w:rPr>
        <w:t>consider developing educational programs aligned with the GBF, working closely with schools, community groups, and local governments to foster biodiversity awareness. This could be supported by engaging with UNESCO and other global bodies invo</w:t>
      </w:r>
      <w:r>
        <w:rPr>
          <w:rFonts w:ascii="Century Gothic" w:hAnsi="Century Gothic"/>
          <w:bCs/>
        </w:rPr>
        <w:t>lved in biodiversity education.</w:t>
      </w:r>
    </w:p>
    <w:p w14:paraId="416BC57C" w14:textId="77777777" w:rsidR="00595143" w:rsidRDefault="00595143" w:rsidP="00595143">
      <w:pPr>
        <w:tabs>
          <w:tab w:val="left" w:pos="1008"/>
        </w:tabs>
        <w:jc w:val="both"/>
        <w:rPr>
          <w:rFonts w:ascii="Century Gothic" w:hAnsi="Century Gothic"/>
          <w:bCs/>
        </w:rPr>
      </w:pPr>
    </w:p>
    <w:p w14:paraId="46115BC0" w14:textId="02097F78" w:rsidR="00595143" w:rsidRPr="00595143" w:rsidRDefault="00595143" w:rsidP="00595143">
      <w:pPr>
        <w:tabs>
          <w:tab w:val="left" w:pos="1008"/>
        </w:tabs>
        <w:jc w:val="both"/>
        <w:rPr>
          <w:rFonts w:ascii="Century Gothic" w:hAnsi="Century Gothic"/>
          <w:bCs/>
        </w:rPr>
      </w:pPr>
      <w:r w:rsidRPr="00595143">
        <w:rPr>
          <w:rFonts w:ascii="Century Gothic" w:hAnsi="Century Gothic"/>
          <w:bCs/>
        </w:rPr>
        <w:t>Strengthen Community and Youth Engagement</w:t>
      </w:r>
      <w:r>
        <w:rPr>
          <w:rFonts w:ascii="Century Gothic" w:hAnsi="Century Gothic"/>
          <w:bCs/>
        </w:rPr>
        <w:t xml:space="preserve"> t</w:t>
      </w:r>
      <w:r w:rsidRPr="00595143">
        <w:rPr>
          <w:rFonts w:ascii="Century Gothic" w:hAnsi="Century Gothic"/>
          <w:bCs/>
        </w:rPr>
        <w:t>hrough collaboration with organizations like GYBN, Kenya can create platforms for youth involvement in biodiversity conservation and awareness. Building on existing networks, Kenya can also foster community-led initiatives to drive transformative actions in line with the GBF.</w:t>
      </w:r>
    </w:p>
    <w:p w14:paraId="22F9A4DA" w14:textId="77777777" w:rsidR="00595143" w:rsidRPr="00595143" w:rsidRDefault="00595143" w:rsidP="00595143">
      <w:pPr>
        <w:tabs>
          <w:tab w:val="left" w:pos="1008"/>
        </w:tabs>
        <w:jc w:val="both"/>
        <w:rPr>
          <w:rFonts w:ascii="Century Gothic" w:hAnsi="Century Gothic"/>
          <w:bCs/>
        </w:rPr>
      </w:pPr>
    </w:p>
    <w:p w14:paraId="245CCF82" w14:textId="7DD09D45" w:rsidR="00F84130" w:rsidRDefault="00595143" w:rsidP="00595143">
      <w:pPr>
        <w:tabs>
          <w:tab w:val="left" w:pos="1008"/>
        </w:tabs>
        <w:jc w:val="both"/>
        <w:rPr>
          <w:rFonts w:ascii="Century Gothic" w:hAnsi="Century Gothic"/>
          <w:bCs/>
        </w:rPr>
      </w:pPr>
      <w:r w:rsidRPr="00595143">
        <w:rPr>
          <w:rFonts w:ascii="Century Gothic" w:hAnsi="Century Gothic"/>
          <w:bCs/>
        </w:rPr>
        <w:t>Kenya should focus on promoting clear, accessible information on biodiversity conservation through various media to ensure widespread awareness and active public involvement in biodiversity protection efforts.</w:t>
      </w:r>
    </w:p>
    <w:p w14:paraId="1791860C" w14:textId="77777777" w:rsidR="00F84130" w:rsidRDefault="00F84130" w:rsidP="00B643B2">
      <w:pPr>
        <w:tabs>
          <w:tab w:val="left" w:pos="1008"/>
        </w:tabs>
        <w:jc w:val="both"/>
        <w:rPr>
          <w:rFonts w:ascii="Century Gothic" w:hAnsi="Century Gothic"/>
          <w:bCs/>
        </w:rPr>
      </w:pPr>
    </w:p>
    <w:p w14:paraId="44D02957" w14:textId="1264F0DD" w:rsidR="00F84130" w:rsidRPr="002329A2" w:rsidRDefault="002329A2" w:rsidP="00C75135">
      <w:pPr>
        <w:pStyle w:val="Heading2"/>
      </w:pPr>
      <w:bookmarkStart w:id="6" w:name="_Toc187242797"/>
      <w:r w:rsidRPr="002329A2">
        <w:t xml:space="preserve">Item </w:t>
      </w:r>
      <w:r w:rsidR="00C06A4A" w:rsidRPr="002329A2">
        <w:t>17: Mainstreaming</w:t>
      </w:r>
      <w:r w:rsidRPr="002329A2">
        <w:t xml:space="preserve"> of biodiversity within and across sectors</w:t>
      </w:r>
      <w:bookmarkEnd w:id="6"/>
    </w:p>
    <w:p w14:paraId="00CEC42E" w14:textId="77777777" w:rsidR="00F84130" w:rsidRPr="002329A2" w:rsidRDefault="00F84130" w:rsidP="00B643B2">
      <w:pPr>
        <w:tabs>
          <w:tab w:val="left" w:pos="1008"/>
        </w:tabs>
        <w:jc w:val="both"/>
        <w:rPr>
          <w:rFonts w:ascii="Century Gothic" w:hAnsi="Century Gothic"/>
          <w:b/>
          <w:bCs/>
        </w:rPr>
      </w:pPr>
    </w:p>
    <w:p w14:paraId="6B59E590" w14:textId="77777777" w:rsidR="00C06A4A" w:rsidRPr="00C06A4A" w:rsidRDefault="00C06A4A" w:rsidP="00C06A4A">
      <w:pPr>
        <w:tabs>
          <w:tab w:val="left" w:pos="1008"/>
        </w:tabs>
        <w:jc w:val="both"/>
        <w:rPr>
          <w:rFonts w:ascii="Century Gothic" w:hAnsi="Century Gothic"/>
          <w:bCs/>
        </w:rPr>
      </w:pPr>
      <w:r w:rsidRPr="00C06A4A">
        <w:rPr>
          <w:rFonts w:ascii="Century Gothic" w:hAnsi="Century Gothic"/>
          <w:b/>
          <w:bCs/>
        </w:rPr>
        <w:t>Mainstreaming:</w:t>
      </w:r>
      <w:r w:rsidRPr="00C06A4A">
        <w:rPr>
          <w:rFonts w:ascii="Century Gothic" w:hAnsi="Century Gothic"/>
          <w:bCs/>
        </w:rPr>
        <w:t xml:space="preserve"> The Conference of the Parties (COP) urged parties to integrate biodiversity mainstreaming into various sectors as part of the Global Biodiversity Framework (GBF). It emphasized engaging the private sector in biodiversity efforts and called on the Secretariat to:</w:t>
      </w:r>
    </w:p>
    <w:p w14:paraId="72C8B64D" w14:textId="77777777" w:rsidR="00C06A4A" w:rsidRPr="00C06A4A" w:rsidRDefault="00C06A4A" w:rsidP="00C06A4A">
      <w:pPr>
        <w:tabs>
          <w:tab w:val="left" w:pos="1008"/>
        </w:tabs>
        <w:jc w:val="both"/>
        <w:rPr>
          <w:rFonts w:ascii="Century Gothic" w:hAnsi="Century Gothic"/>
          <w:bCs/>
        </w:rPr>
      </w:pPr>
    </w:p>
    <w:p w14:paraId="1906A4E1" w14:textId="77777777"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 xml:space="preserve">    Embed biodiversity mainstreaming in regional and subregional dialogues,</w:t>
      </w:r>
    </w:p>
    <w:p w14:paraId="2EF01DC9" w14:textId="77777777"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 xml:space="preserve">    Collaborate with other conventions to enhance mainstreaming,</w:t>
      </w:r>
    </w:p>
    <w:p w14:paraId="4CB37DE3" w14:textId="77777777"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 xml:space="preserve">    Support capacity-building on mainstreaming activities, and</w:t>
      </w:r>
    </w:p>
    <w:p w14:paraId="1CF14D73" w14:textId="77777777"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 xml:space="preserve">    Develop a sector-specific overview and communities of practice for COP 17.</w:t>
      </w:r>
    </w:p>
    <w:p w14:paraId="1C7EA798" w14:textId="77777777" w:rsidR="00170B85" w:rsidRDefault="00170B85" w:rsidP="00170B85">
      <w:pPr>
        <w:tabs>
          <w:tab w:val="left" w:pos="1008"/>
        </w:tabs>
        <w:jc w:val="both"/>
        <w:rPr>
          <w:rFonts w:ascii="Century Gothic" w:hAnsi="Century Gothic"/>
          <w:b/>
          <w:bCs/>
        </w:rPr>
      </w:pPr>
    </w:p>
    <w:p w14:paraId="3CB2C906" w14:textId="77777777" w:rsidR="00AD46C8" w:rsidRDefault="00AD46C8" w:rsidP="00C06A4A">
      <w:pPr>
        <w:tabs>
          <w:tab w:val="left" w:pos="1008"/>
        </w:tabs>
        <w:jc w:val="both"/>
        <w:rPr>
          <w:rFonts w:ascii="Century Gothic" w:hAnsi="Century Gothic"/>
          <w:b/>
          <w:bCs/>
        </w:rPr>
      </w:pPr>
    </w:p>
    <w:p w14:paraId="31D6C099" w14:textId="77777777" w:rsidR="00AD46C8" w:rsidRDefault="00AD46C8" w:rsidP="00C06A4A">
      <w:pPr>
        <w:tabs>
          <w:tab w:val="left" w:pos="1008"/>
        </w:tabs>
        <w:jc w:val="both"/>
        <w:rPr>
          <w:rFonts w:ascii="Century Gothic" w:hAnsi="Century Gothic"/>
          <w:b/>
          <w:bCs/>
        </w:rPr>
      </w:pPr>
    </w:p>
    <w:p w14:paraId="5BAA7F59" w14:textId="77777777" w:rsidR="00170B85" w:rsidRDefault="00170B85" w:rsidP="00C75135">
      <w:pPr>
        <w:pStyle w:val="Heading2"/>
      </w:pPr>
      <w:bookmarkStart w:id="7" w:name="_Toc187242798"/>
      <w:r w:rsidRPr="00170B85">
        <w:t xml:space="preserve">Item 18 </w:t>
      </w:r>
      <w:r>
        <w:t>:</w:t>
      </w:r>
      <w:r w:rsidRPr="00170B85">
        <w:t>Diverse values of biodiversity</w:t>
      </w:r>
      <w:r w:rsidR="00C06A4A" w:rsidRPr="00C06A4A">
        <w:t>:</w:t>
      </w:r>
      <w:bookmarkEnd w:id="7"/>
      <w:r w:rsidR="00C06A4A" w:rsidRPr="00C06A4A">
        <w:t xml:space="preserve"> </w:t>
      </w:r>
    </w:p>
    <w:p w14:paraId="20563A57" w14:textId="36E4612F" w:rsidR="00C06A4A" w:rsidRPr="00170B85" w:rsidRDefault="00C06A4A" w:rsidP="00C06A4A">
      <w:pPr>
        <w:tabs>
          <w:tab w:val="left" w:pos="1008"/>
        </w:tabs>
        <w:jc w:val="both"/>
        <w:rPr>
          <w:rFonts w:ascii="Century Gothic" w:hAnsi="Century Gothic"/>
          <w:b/>
          <w:bCs/>
        </w:rPr>
      </w:pPr>
      <w:r w:rsidRPr="00C06A4A">
        <w:rPr>
          <w:rFonts w:ascii="Century Gothic" w:hAnsi="Century Gothic"/>
          <w:bCs/>
        </w:rPr>
        <w:t xml:space="preserve">The COP encouraged the integration of diverse values and knowledge systems into biodiversity policies, based on the IPBES report on nature's diverse </w:t>
      </w:r>
      <w:r>
        <w:rPr>
          <w:rFonts w:ascii="Century Gothic" w:hAnsi="Century Gothic"/>
          <w:bCs/>
        </w:rPr>
        <w:t>values. The decision advocated:</w:t>
      </w:r>
    </w:p>
    <w:p w14:paraId="5547C381" w14:textId="2708EA35"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 xml:space="preserve"> Recognizing different perspectives on biodiversity in decision-making,</w:t>
      </w:r>
    </w:p>
    <w:p w14:paraId="3D24186F" w14:textId="1C0DBB7D"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 xml:space="preserve"> Involving Indigenous Peoples and Local Communities (IPLCs) in these processes,</w:t>
      </w:r>
    </w:p>
    <w:p w14:paraId="656253DE" w14:textId="7E1C8361" w:rsidR="00C06A4A" w:rsidRPr="00C06A4A" w:rsidRDefault="00C06A4A" w:rsidP="00C06A4A">
      <w:pPr>
        <w:tabs>
          <w:tab w:val="left" w:pos="1008"/>
        </w:tabs>
        <w:jc w:val="both"/>
        <w:rPr>
          <w:rFonts w:ascii="Century Gothic" w:hAnsi="Century Gothic"/>
          <w:bCs/>
        </w:rPr>
      </w:pPr>
      <w:r>
        <w:rPr>
          <w:rFonts w:ascii="Century Gothic" w:hAnsi="Century Gothic"/>
          <w:bCs/>
        </w:rPr>
        <w:t xml:space="preserve"> </w:t>
      </w:r>
      <w:r w:rsidRPr="00C06A4A">
        <w:rPr>
          <w:rFonts w:ascii="Century Gothic" w:hAnsi="Century Gothic"/>
          <w:bCs/>
        </w:rPr>
        <w:t>Supporting participatory approaches to sustainability, and</w:t>
      </w:r>
      <w:r>
        <w:rPr>
          <w:rFonts w:ascii="Century Gothic" w:hAnsi="Century Gothic"/>
          <w:bCs/>
        </w:rPr>
        <w:t xml:space="preserve"> </w:t>
      </w:r>
      <w:r w:rsidRPr="00C06A4A">
        <w:rPr>
          <w:rFonts w:ascii="Century Gothic" w:hAnsi="Century Gothic"/>
          <w:bCs/>
        </w:rPr>
        <w:t>Considering diverse value systems when implementing GBF Target 14, which calls for incorporating biodiversity into decision-making.</w:t>
      </w:r>
    </w:p>
    <w:p w14:paraId="08384AD0" w14:textId="77777777" w:rsidR="00C06A4A" w:rsidRPr="00C06A4A" w:rsidRDefault="00C06A4A" w:rsidP="00C06A4A">
      <w:pPr>
        <w:tabs>
          <w:tab w:val="left" w:pos="1008"/>
        </w:tabs>
        <w:jc w:val="both"/>
        <w:rPr>
          <w:rFonts w:ascii="Century Gothic" w:hAnsi="Century Gothic"/>
          <w:bCs/>
        </w:rPr>
      </w:pPr>
    </w:p>
    <w:p w14:paraId="729AB4E6" w14:textId="3936D4AF" w:rsidR="00C06A4A" w:rsidRPr="00C06A4A" w:rsidRDefault="00C06A4A" w:rsidP="00C06A4A">
      <w:pPr>
        <w:tabs>
          <w:tab w:val="left" w:pos="1008"/>
        </w:tabs>
        <w:jc w:val="both"/>
        <w:rPr>
          <w:rFonts w:ascii="Century Gothic" w:hAnsi="Century Gothic"/>
          <w:b/>
          <w:bCs/>
        </w:rPr>
      </w:pPr>
      <w:r w:rsidRPr="00C06A4A">
        <w:rPr>
          <w:rFonts w:ascii="Century Gothic" w:hAnsi="Century Gothic"/>
          <w:b/>
          <w:bCs/>
        </w:rPr>
        <w:t xml:space="preserve">Recommendations </w:t>
      </w:r>
    </w:p>
    <w:p w14:paraId="341AC342" w14:textId="77777777" w:rsidR="00C06A4A" w:rsidRPr="00C06A4A" w:rsidRDefault="00C06A4A" w:rsidP="00C06A4A">
      <w:pPr>
        <w:tabs>
          <w:tab w:val="left" w:pos="1008"/>
        </w:tabs>
        <w:jc w:val="both"/>
        <w:rPr>
          <w:rFonts w:ascii="Century Gothic" w:hAnsi="Century Gothic"/>
          <w:bCs/>
        </w:rPr>
      </w:pPr>
    </w:p>
    <w:p w14:paraId="01C17D71" w14:textId="01D7DE85"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Kenya should further integrate biodiversity considerations into policies for agriculture, forestry, infrastructure, tourism, and other key sectors. Developing cross-sectoral guidelines and standards could help align these efforts with the GBF and ensure all sectors contribute to national biodiversity goals.</w:t>
      </w:r>
    </w:p>
    <w:p w14:paraId="76F60FF2" w14:textId="77777777" w:rsidR="00C06A4A" w:rsidRPr="00C06A4A" w:rsidRDefault="00C06A4A" w:rsidP="00C06A4A">
      <w:pPr>
        <w:tabs>
          <w:tab w:val="left" w:pos="1008"/>
        </w:tabs>
        <w:jc w:val="both"/>
        <w:rPr>
          <w:rFonts w:ascii="Century Gothic" w:hAnsi="Century Gothic"/>
          <w:bCs/>
        </w:rPr>
      </w:pPr>
    </w:p>
    <w:p w14:paraId="351EB755" w14:textId="77777777" w:rsidR="00C06A4A" w:rsidRDefault="00C06A4A" w:rsidP="00C06A4A">
      <w:pPr>
        <w:tabs>
          <w:tab w:val="left" w:pos="1008"/>
        </w:tabs>
        <w:jc w:val="both"/>
        <w:rPr>
          <w:rFonts w:ascii="Century Gothic" w:hAnsi="Century Gothic"/>
          <w:bCs/>
        </w:rPr>
      </w:pPr>
      <w:r w:rsidRPr="00C06A4A">
        <w:rPr>
          <w:rFonts w:ascii="Century Gothic" w:hAnsi="Century Gothic"/>
          <w:bCs/>
        </w:rPr>
        <w:t xml:space="preserve">Encouraging private sector contributions to biodiversity targets can boost Kenya’s biodiversity conservation efforts. </w:t>
      </w:r>
    </w:p>
    <w:p w14:paraId="58CEA416" w14:textId="766C141D"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Kenya consider introducing incentives, like tax benefits or subsidies, to companies adopting biodiversity-friendly practices. Additionally, creating partnerships with businesses to fund and promote biodiversity initiatives could strengthen Kenya’s approach.</w:t>
      </w:r>
    </w:p>
    <w:p w14:paraId="0A79C36D" w14:textId="77777777" w:rsidR="00C06A4A" w:rsidRPr="00C06A4A" w:rsidRDefault="00C06A4A" w:rsidP="00C06A4A">
      <w:pPr>
        <w:tabs>
          <w:tab w:val="left" w:pos="1008"/>
        </w:tabs>
        <w:jc w:val="both"/>
        <w:rPr>
          <w:rFonts w:ascii="Century Gothic" w:hAnsi="Century Gothic"/>
          <w:bCs/>
        </w:rPr>
      </w:pPr>
    </w:p>
    <w:p w14:paraId="7C4AE17E" w14:textId="4F37F6E5"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Kenya benefit from developing training programs to incorporate different value systems, including indigenous knowledge, in biodiversity policies. Capacity-building workshops with stakeholders across sectors would enhance understanding and application of these diverse values in national and local policies.</w:t>
      </w:r>
    </w:p>
    <w:p w14:paraId="5FB9A81E" w14:textId="77777777" w:rsidR="00C06A4A" w:rsidRPr="00C06A4A" w:rsidRDefault="00C06A4A" w:rsidP="00C06A4A">
      <w:pPr>
        <w:tabs>
          <w:tab w:val="left" w:pos="1008"/>
        </w:tabs>
        <w:jc w:val="both"/>
        <w:rPr>
          <w:rFonts w:ascii="Century Gothic" w:hAnsi="Century Gothic"/>
          <w:bCs/>
        </w:rPr>
      </w:pPr>
    </w:p>
    <w:p w14:paraId="70735EC9" w14:textId="09B362FC" w:rsidR="00C06A4A" w:rsidRPr="00C06A4A" w:rsidRDefault="00C06A4A" w:rsidP="00C06A4A">
      <w:pPr>
        <w:tabs>
          <w:tab w:val="left" w:pos="1008"/>
        </w:tabs>
        <w:jc w:val="both"/>
        <w:rPr>
          <w:rFonts w:ascii="Century Gothic" w:hAnsi="Century Gothic"/>
          <w:bCs/>
        </w:rPr>
      </w:pPr>
      <w:r w:rsidRPr="00C06A4A">
        <w:rPr>
          <w:rFonts w:ascii="Century Gothic" w:hAnsi="Century Gothic"/>
          <w:bCs/>
        </w:rPr>
        <w:t>Since Kenya has rich Indigenous and local knowledge systems, creating platforms for IPLC participation in decision-making would ensure diverse values are reflected in policies. This involvement aligns with GBF Target 14 and promotes inclusive, sustainable management of biodiversity.</w:t>
      </w:r>
    </w:p>
    <w:p w14:paraId="61C705A3" w14:textId="77777777" w:rsidR="00C06A4A" w:rsidRDefault="00C06A4A" w:rsidP="00C06A4A">
      <w:pPr>
        <w:tabs>
          <w:tab w:val="left" w:pos="1008"/>
        </w:tabs>
        <w:jc w:val="both"/>
        <w:rPr>
          <w:rFonts w:ascii="Century Gothic" w:hAnsi="Century Gothic"/>
          <w:bCs/>
        </w:rPr>
      </w:pPr>
    </w:p>
    <w:p w14:paraId="4578FD7D" w14:textId="66A84E0C" w:rsidR="00C06A4A" w:rsidRDefault="00C06A4A" w:rsidP="00C06A4A">
      <w:pPr>
        <w:tabs>
          <w:tab w:val="left" w:pos="1008"/>
        </w:tabs>
        <w:jc w:val="both"/>
        <w:rPr>
          <w:rFonts w:ascii="Century Gothic" w:hAnsi="Century Gothic"/>
          <w:bCs/>
        </w:rPr>
      </w:pPr>
      <w:r w:rsidRPr="00C06A4A">
        <w:rPr>
          <w:rFonts w:ascii="Century Gothic" w:hAnsi="Century Gothic"/>
          <w:bCs/>
        </w:rPr>
        <w:t>Kenya could initiate projects to assess the economic, social, and cultural values of biodiversity, ensuring these values are integrated into policy decisions. This holistic approach would support more comprehensive assessments and align Kenya’s biodiversity policies with GBF objectives.</w:t>
      </w:r>
    </w:p>
    <w:p w14:paraId="4DA18EE2" w14:textId="77777777" w:rsidR="00C06A4A" w:rsidRDefault="00C06A4A" w:rsidP="00B643B2">
      <w:pPr>
        <w:tabs>
          <w:tab w:val="left" w:pos="1008"/>
        </w:tabs>
        <w:jc w:val="both"/>
        <w:rPr>
          <w:rFonts w:ascii="Century Gothic" w:hAnsi="Century Gothic"/>
          <w:bCs/>
        </w:rPr>
      </w:pPr>
    </w:p>
    <w:p w14:paraId="49F35236" w14:textId="77777777" w:rsidR="00C06A4A" w:rsidRDefault="00C06A4A" w:rsidP="00B643B2">
      <w:pPr>
        <w:tabs>
          <w:tab w:val="left" w:pos="1008"/>
        </w:tabs>
        <w:jc w:val="both"/>
        <w:rPr>
          <w:rFonts w:ascii="Century Gothic" w:hAnsi="Century Gothic"/>
          <w:bCs/>
        </w:rPr>
      </w:pPr>
    </w:p>
    <w:p w14:paraId="16A5C0DB" w14:textId="77777777" w:rsidR="00C06A4A" w:rsidRDefault="00C06A4A" w:rsidP="00B643B2">
      <w:pPr>
        <w:tabs>
          <w:tab w:val="left" w:pos="1008"/>
        </w:tabs>
        <w:jc w:val="both"/>
        <w:rPr>
          <w:rFonts w:ascii="Century Gothic" w:hAnsi="Century Gothic"/>
          <w:bCs/>
        </w:rPr>
      </w:pPr>
    </w:p>
    <w:p w14:paraId="0DFF9A6D" w14:textId="2A8C60B9" w:rsidR="00170B85" w:rsidRPr="00807631" w:rsidRDefault="00170B85" w:rsidP="00C75135">
      <w:pPr>
        <w:pStyle w:val="Heading1"/>
        <w:rPr>
          <w:b/>
          <w:lang w:val="en-GB"/>
        </w:rPr>
      </w:pPr>
      <w:bookmarkStart w:id="8" w:name="_Toc187242799"/>
      <w:r w:rsidRPr="00170B85">
        <w:rPr>
          <w:lang w:val="en-GB"/>
        </w:rPr>
        <w:t>Conference of the Parties to the Convention on Biological Diversity serving as the meeting of the Parties to the Nagoya Protocol on Access to Genetic Resources and the Fair and Equitable Sharing of Benefits Arising from their Utilization</w:t>
      </w:r>
      <w:r w:rsidR="002600E4">
        <w:rPr>
          <w:lang w:val="en-GB"/>
        </w:rPr>
        <w:t xml:space="preserve"> </w:t>
      </w:r>
      <w:r w:rsidRPr="00170B85">
        <w:rPr>
          <w:lang w:val="en-GB"/>
        </w:rPr>
        <w:t>Fifth meeting</w:t>
      </w:r>
      <w:bookmarkEnd w:id="8"/>
      <w:r w:rsidRPr="00170B85">
        <w:rPr>
          <w:lang w:val="en-GB"/>
        </w:rPr>
        <w:t xml:space="preserve"> </w:t>
      </w:r>
    </w:p>
    <w:p w14:paraId="666763FC" w14:textId="77777777" w:rsidR="002600E4" w:rsidRDefault="002600E4" w:rsidP="00170B85">
      <w:pPr>
        <w:tabs>
          <w:tab w:val="left" w:pos="1008"/>
        </w:tabs>
        <w:rPr>
          <w:rFonts w:ascii="Century Gothic" w:hAnsi="Century Gothic"/>
          <w:b/>
          <w:bCs/>
          <w:lang w:val="en-GB"/>
        </w:rPr>
      </w:pPr>
    </w:p>
    <w:p w14:paraId="27739F07" w14:textId="77777777" w:rsidR="002600E4" w:rsidRPr="00170B85" w:rsidRDefault="002600E4" w:rsidP="00170B85">
      <w:pPr>
        <w:tabs>
          <w:tab w:val="left" w:pos="1008"/>
        </w:tabs>
        <w:rPr>
          <w:rFonts w:ascii="Century Gothic" w:hAnsi="Century Gothic"/>
          <w:b/>
          <w:bCs/>
          <w:lang w:val="en-GB"/>
        </w:rPr>
      </w:pPr>
    </w:p>
    <w:p w14:paraId="6FE43FDD" w14:textId="2BD2ED18" w:rsidR="00C06A4A" w:rsidRPr="002600E4" w:rsidRDefault="002600E4" w:rsidP="00C75135">
      <w:pPr>
        <w:pStyle w:val="Heading2"/>
      </w:pPr>
      <w:bookmarkStart w:id="9" w:name="_Toc187242800"/>
      <w:r w:rsidRPr="002600E4">
        <w:t>Item 8 :Capacity-building and development and awareness-raising</w:t>
      </w:r>
      <w:bookmarkEnd w:id="9"/>
    </w:p>
    <w:p w14:paraId="2272E4DE" w14:textId="77777777" w:rsidR="00C06A4A" w:rsidRPr="002600E4" w:rsidRDefault="00C06A4A" w:rsidP="00B643B2">
      <w:pPr>
        <w:tabs>
          <w:tab w:val="left" w:pos="1008"/>
        </w:tabs>
        <w:jc w:val="both"/>
        <w:rPr>
          <w:rFonts w:ascii="Century Gothic" w:hAnsi="Century Gothic"/>
          <w:b/>
          <w:bCs/>
        </w:rPr>
      </w:pPr>
    </w:p>
    <w:p w14:paraId="4FAB3701" w14:textId="77777777" w:rsidR="002600E4" w:rsidRPr="002600E4" w:rsidRDefault="002600E4" w:rsidP="002600E4">
      <w:pPr>
        <w:tabs>
          <w:tab w:val="left" w:pos="1008"/>
        </w:tabs>
        <w:jc w:val="both"/>
        <w:rPr>
          <w:rFonts w:ascii="Century Gothic" w:hAnsi="Century Gothic"/>
          <w:bCs/>
        </w:rPr>
      </w:pPr>
      <w:r w:rsidRPr="002600E4">
        <w:rPr>
          <w:rFonts w:ascii="Century Gothic" w:hAnsi="Century Gothic"/>
          <w:bCs/>
        </w:rPr>
        <w:t>Capacity Building and Development, and Awareness Raising: On Monday, 21 October, Chair Benítez informed WG II that a CRP will be prepared, which was addressed on Thursday, 24 October. Discussion focused on the action plan annexed to the decision, including its outputs and capacity-building activities under thematic key areas. WG II approved the CRP as amended.</w:t>
      </w:r>
    </w:p>
    <w:p w14:paraId="766A0949" w14:textId="77777777" w:rsidR="002600E4" w:rsidRPr="002600E4" w:rsidRDefault="002600E4" w:rsidP="002600E4">
      <w:pPr>
        <w:tabs>
          <w:tab w:val="left" w:pos="1008"/>
        </w:tabs>
        <w:jc w:val="both"/>
        <w:rPr>
          <w:rFonts w:ascii="Century Gothic" w:hAnsi="Century Gothic"/>
          <w:bCs/>
        </w:rPr>
      </w:pPr>
    </w:p>
    <w:p w14:paraId="4A6DDEA8" w14:textId="5CF3333F" w:rsidR="00C06A4A" w:rsidRDefault="002600E4" w:rsidP="002600E4">
      <w:pPr>
        <w:tabs>
          <w:tab w:val="left" w:pos="1008"/>
        </w:tabs>
        <w:jc w:val="both"/>
        <w:rPr>
          <w:rFonts w:ascii="Century Gothic" w:hAnsi="Century Gothic"/>
          <w:bCs/>
        </w:rPr>
      </w:pPr>
      <w:r w:rsidRPr="002600E4">
        <w:rPr>
          <w:rFonts w:ascii="Century Gothic" w:hAnsi="Century Gothic"/>
          <w:bCs/>
        </w:rPr>
        <w:t>Final Outcome: The decision (CBD/NP/MOP/5/L.4) was not adopted due to the meeting’s suspension.</w:t>
      </w:r>
    </w:p>
    <w:p w14:paraId="207DC417" w14:textId="05D13A0A" w:rsidR="002443BE" w:rsidRPr="002443BE" w:rsidRDefault="00A70F76" w:rsidP="002443BE">
      <w:pPr>
        <w:tabs>
          <w:tab w:val="left" w:pos="1008"/>
        </w:tabs>
        <w:jc w:val="both"/>
        <w:rPr>
          <w:rFonts w:ascii="Century Gothic" w:hAnsi="Century Gothic"/>
          <w:bCs/>
        </w:rPr>
      </w:pPr>
      <w:r>
        <w:rPr>
          <w:rFonts w:ascii="Century Gothic" w:hAnsi="Century Gothic"/>
          <w:b/>
          <w:bCs/>
        </w:rPr>
        <w:t>Recommendations</w:t>
      </w:r>
    </w:p>
    <w:p w14:paraId="13D87602" w14:textId="77777777" w:rsidR="002443BE" w:rsidRPr="002443BE" w:rsidRDefault="002443BE" w:rsidP="002443BE">
      <w:pPr>
        <w:tabs>
          <w:tab w:val="left" w:pos="1008"/>
        </w:tabs>
        <w:jc w:val="both"/>
        <w:rPr>
          <w:rFonts w:ascii="Century Gothic" w:hAnsi="Century Gothic"/>
          <w:bCs/>
        </w:rPr>
      </w:pPr>
    </w:p>
    <w:p w14:paraId="7233E16C" w14:textId="4D5974E3" w:rsidR="002443BE" w:rsidRPr="002443BE" w:rsidRDefault="002443BE" w:rsidP="002443BE">
      <w:pPr>
        <w:tabs>
          <w:tab w:val="left" w:pos="1008"/>
        </w:tabs>
        <w:jc w:val="both"/>
        <w:rPr>
          <w:rFonts w:ascii="Century Gothic" w:hAnsi="Century Gothic"/>
          <w:bCs/>
        </w:rPr>
      </w:pPr>
      <w:r w:rsidRPr="002443BE">
        <w:rPr>
          <w:rFonts w:ascii="Century Gothic" w:hAnsi="Century Gothic"/>
          <w:bCs/>
        </w:rPr>
        <w:t>Given that the formal decision was not adopted, Kenya could still proceed with its own initiatives aligned with the action plan discussed. This could include developing targeted training programs for capacity-building in key areas relevant to the Nagoya Protocol, such as biodiversity conservation, sustainable use of resources, and benefit-sharing.</w:t>
      </w:r>
    </w:p>
    <w:p w14:paraId="4B5BDD00" w14:textId="77777777" w:rsidR="002443BE" w:rsidRPr="002443BE" w:rsidRDefault="002443BE" w:rsidP="002443BE">
      <w:pPr>
        <w:tabs>
          <w:tab w:val="left" w:pos="1008"/>
        </w:tabs>
        <w:jc w:val="both"/>
        <w:rPr>
          <w:rFonts w:ascii="Century Gothic" w:hAnsi="Century Gothic"/>
          <w:bCs/>
        </w:rPr>
      </w:pPr>
    </w:p>
    <w:p w14:paraId="1E3A3114" w14:textId="60407A4E" w:rsidR="002443BE" w:rsidRPr="002443BE" w:rsidRDefault="002443BE" w:rsidP="002443BE">
      <w:pPr>
        <w:tabs>
          <w:tab w:val="left" w:pos="1008"/>
        </w:tabs>
        <w:jc w:val="both"/>
        <w:rPr>
          <w:rFonts w:ascii="Century Gothic" w:hAnsi="Century Gothic"/>
          <w:bCs/>
        </w:rPr>
      </w:pPr>
      <w:r w:rsidRPr="002443BE">
        <w:rPr>
          <w:rFonts w:ascii="Century Gothic" w:hAnsi="Century Gothic"/>
          <w:bCs/>
        </w:rPr>
        <w:t xml:space="preserve">Kenya should identify priority thematic areas where capacity-building is most needed and tailor activities accordingly. This could include areas like biodiversity data management, access and benefit-sharing (ABS) compliance, and community engagement </w:t>
      </w:r>
    </w:p>
    <w:p w14:paraId="39798B35" w14:textId="77777777" w:rsidR="002443BE" w:rsidRPr="002443BE" w:rsidRDefault="002443BE" w:rsidP="002443BE">
      <w:pPr>
        <w:tabs>
          <w:tab w:val="left" w:pos="1008"/>
        </w:tabs>
        <w:jc w:val="both"/>
        <w:rPr>
          <w:rFonts w:ascii="Century Gothic" w:hAnsi="Century Gothic"/>
          <w:bCs/>
        </w:rPr>
      </w:pPr>
    </w:p>
    <w:p w14:paraId="06DE39EA" w14:textId="2D84BC69" w:rsidR="002443BE" w:rsidRPr="002443BE" w:rsidRDefault="002443BE" w:rsidP="002443BE">
      <w:pPr>
        <w:tabs>
          <w:tab w:val="left" w:pos="1008"/>
        </w:tabs>
        <w:jc w:val="both"/>
        <w:rPr>
          <w:rFonts w:ascii="Century Gothic" w:hAnsi="Century Gothic"/>
          <w:bCs/>
        </w:rPr>
      </w:pPr>
      <w:r w:rsidRPr="002443BE">
        <w:rPr>
          <w:rFonts w:ascii="Century Gothic" w:hAnsi="Century Gothic"/>
          <w:bCs/>
        </w:rPr>
        <w:t>Kenya could design awareness-raising programs to educate stakeholders, including local communities, businesses, and policymakers, about the importance of ABS . Such programs can help build a supportive envi</w:t>
      </w:r>
      <w:r w:rsidR="00A70F76">
        <w:rPr>
          <w:rFonts w:ascii="Century Gothic" w:hAnsi="Century Gothic"/>
          <w:bCs/>
        </w:rPr>
        <w:t>ronment for the Nagoya Protocol</w:t>
      </w:r>
      <w:r w:rsidRPr="002443BE">
        <w:rPr>
          <w:rFonts w:ascii="Century Gothic" w:hAnsi="Century Gothic"/>
          <w:bCs/>
        </w:rPr>
        <w:t>.</w:t>
      </w:r>
    </w:p>
    <w:p w14:paraId="16606854" w14:textId="77777777" w:rsidR="002443BE" w:rsidRPr="002443BE" w:rsidRDefault="002443BE" w:rsidP="002443BE">
      <w:pPr>
        <w:tabs>
          <w:tab w:val="left" w:pos="1008"/>
        </w:tabs>
        <w:jc w:val="both"/>
        <w:rPr>
          <w:rFonts w:ascii="Century Gothic" w:hAnsi="Century Gothic"/>
          <w:bCs/>
        </w:rPr>
      </w:pPr>
    </w:p>
    <w:p w14:paraId="0B8F1956" w14:textId="4DB0B826" w:rsidR="002443BE" w:rsidRPr="002443BE" w:rsidRDefault="002443BE" w:rsidP="002443BE">
      <w:pPr>
        <w:tabs>
          <w:tab w:val="left" w:pos="1008"/>
        </w:tabs>
        <w:jc w:val="both"/>
        <w:rPr>
          <w:rFonts w:ascii="Century Gothic" w:hAnsi="Century Gothic"/>
          <w:bCs/>
        </w:rPr>
      </w:pPr>
      <w:r w:rsidRPr="002443BE">
        <w:rPr>
          <w:rFonts w:ascii="Century Gothic" w:hAnsi="Century Gothic"/>
          <w:bCs/>
        </w:rPr>
        <w:t>While awaiting formal adoption of the decision, Kenya might consider approaching international partners or agencies, such as UNEP and the Global Environment Facility (GEF), for funding to implement capacity-building activities</w:t>
      </w:r>
      <w:r w:rsidR="00A70F76">
        <w:rPr>
          <w:rFonts w:ascii="Century Gothic" w:hAnsi="Century Gothic"/>
          <w:bCs/>
        </w:rPr>
        <w:t xml:space="preserve"> and raise awareness around ABS</w:t>
      </w:r>
      <w:r w:rsidRPr="002443BE">
        <w:rPr>
          <w:rFonts w:ascii="Century Gothic" w:hAnsi="Century Gothic"/>
          <w:bCs/>
        </w:rPr>
        <w:t>.</w:t>
      </w:r>
    </w:p>
    <w:p w14:paraId="0BCBC246" w14:textId="77777777" w:rsidR="002443BE" w:rsidRPr="002443BE" w:rsidRDefault="002443BE" w:rsidP="002443BE">
      <w:pPr>
        <w:tabs>
          <w:tab w:val="left" w:pos="1008"/>
        </w:tabs>
        <w:jc w:val="both"/>
        <w:rPr>
          <w:rFonts w:ascii="Century Gothic" w:hAnsi="Century Gothic"/>
          <w:bCs/>
        </w:rPr>
      </w:pPr>
    </w:p>
    <w:p w14:paraId="17CBC568" w14:textId="466B88F9" w:rsidR="002443BE" w:rsidRDefault="00A70F76" w:rsidP="002443BE">
      <w:pPr>
        <w:tabs>
          <w:tab w:val="left" w:pos="1008"/>
        </w:tabs>
        <w:jc w:val="both"/>
        <w:rPr>
          <w:rFonts w:ascii="Century Gothic" w:hAnsi="Century Gothic"/>
          <w:bCs/>
        </w:rPr>
      </w:pPr>
      <w:r>
        <w:rPr>
          <w:rFonts w:ascii="Century Gothic" w:hAnsi="Century Gothic"/>
          <w:bCs/>
        </w:rPr>
        <w:lastRenderedPageBreak/>
        <w:t xml:space="preserve"> </w:t>
      </w:r>
      <w:r w:rsidR="002443BE" w:rsidRPr="002443BE">
        <w:rPr>
          <w:rFonts w:ascii="Century Gothic" w:hAnsi="Century Gothic"/>
          <w:bCs/>
        </w:rPr>
        <w:t>Kenya could implement mechanisms to track progress on capacity-building and awareness-raising efforts. Documenting successes, challenges, and lessons learned can provide valuable input for future international discussions and help align Kenya’s actions with the anticipated formal adoption of the action plan.</w:t>
      </w:r>
    </w:p>
    <w:p w14:paraId="7F60E771" w14:textId="77777777" w:rsidR="002443BE" w:rsidRDefault="002443BE" w:rsidP="002600E4">
      <w:pPr>
        <w:tabs>
          <w:tab w:val="left" w:pos="1008"/>
        </w:tabs>
        <w:jc w:val="both"/>
        <w:rPr>
          <w:rFonts w:ascii="Century Gothic" w:hAnsi="Century Gothic"/>
          <w:bCs/>
        </w:rPr>
      </w:pPr>
    </w:p>
    <w:p w14:paraId="7901F04B" w14:textId="21FE6499" w:rsidR="002600E4" w:rsidRPr="00F12D17" w:rsidRDefault="00F12D17" w:rsidP="00C75135">
      <w:pPr>
        <w:pStyle w:val="Heading2"/>
      </w:pPr>
      <w:bookmarkStart w:id="10" w:name="_Toc187242801"/>
      <w:r w:rsidRPr="00F12D17">
        <w:t>Item 9 :Access and Benefit-sharing Clearing-House and information-sharing</w:t>
      </w:r>
      <w:bookmarkEnd w:id="10"/>
    </w:p>
    <w:p w14:paraId="5A6C697A" w14:textId="77777777" w:rsidR="002600E4" w:rsidRPr="00F12D17" w:rsidRDefault="002600E4" w:rsidP="002600E4">
      <w:pPr>
        <w:tabs>
          <w:tab w:val="left" w:pos="1008"/>
        </w:tabs>
        <w:jc w:val="both"/>
        <w:rPr>
          <w:rFonts w:ascii="Century Gothic" w:hAnsi="Century Gothic"/>
          <w:b/>
          <w:bCs/>
        </w:rPr>
      </w:pPr>
    </w:p>
    <w:p w14:paraId="39F51EE8" w14:textId="37661308" w:rsidR="002600E4" w:rsidRPr="002600E4" w:rsidRDefault="002600E4" w:rsidP="002600E4">
      <w:pPr>
        <w:tabs>
          <w:tab w:val="left" w:pos="1008"/>
        </w:tabs>
        <w:jc w:val="both"/>
        <w:rPr>
          <w:rFonts w:ascii="Century Gothic" w:hAnsi="Century Gothic"/>
          <w:bCs/>
        </w:rPr>
      </w:pPr>
      <w:r w:rsidRPr="002600E4">
        <w:rPr>
          <w:rFonts w:ascii="Century Gothic" w:hAnsi="Century Gothic"/>
          <w:bCs/>
        </w:rPr>
        <w:t>The COP focused on improving access, management, and use of the Access and Benefit-Sharing (ABS) Clearing-House. Key elements of the final decision include:</w:t>
      </w:r>
    </w:p>
    <w:p w14:paraId="0BAF7B95" w14:textId="77777777" w:rsidR="002600E4" w:rsidRPr="002600E4" w:rsidRDefault="002600E4" w:rsidP="002600E4">
      <w:pPr>
        <w:tabs>
          <w:tab w:val="left" w:pos="1008"/>
        </w:tabs>
        <w:jc w:val="both"/>
        <w:rPr>
          <w:rFonts w:ascii="Century Gothic" w:hAnsi="Century Gothic"/>
          <w:bCs/>
        </w:rPr>
      </w:pPr>
    </w:p>
    <w:p w14:paraId="6624B9AD" w14:textId="61F4DE64" w:rsidR="002600E4" w:rsidRPr="002600E4" w:rsidRDefault="002600E4" w:rsidP="002600E4">
      <w:pPr>
        <w:tabs>
          <w:tab w:val="left" w:pos="1008"/>
        </w:tabs>
        <w:jc w:val="both"/>
        <w:rPr>
          <w:rFonts w:ascii="Century Gothic" w:hAnsi="Century Gothic"/>
          <w:bCs/>
        </w:rPr>
      </w:pPr>
      <w:r w:rsidRPr="002600E4">
        <w:rPr>
          <w:rFonts w:ascii="Century Gothic" w:hAnsi="Century Gothic"/>
          <w:bCs/>
        </w:rPr>
        <w:t>The Meeting of the Parties (MOP) urged all countries to ensure their national ABS-related information is available on the Clearing-House.</w:t>
      </w:r>
    </w:p>
    <w:p w14:paraId="4CDAEC8B" w14:textId="77777777" w:rsidR="00F12D17" w:rsidRDefault="00F12D17" w:rsidP="002600E4">
      <w:pPr>
        <w:tabs>
          <w:tab w:val="left" w:pos="1008"/>
        </w:tabs>
        <w:jc w:val="both"/>
        <w:rPr>
          <w:rFonts w:ascii="Century Gothic" w:hAnsi="Century Gothic"/>
          <w:bCs/>
        </w:rPr>
      </w:pPr>
    </w:p>
    <w:p w14:paraId="29F404AE" w14:textId="69390DFF" w:rsidR="002600E4" w:rsidRPr="002600E4" w:rsidRDefault="002600E4" w:rsidP="002600E4">
      <w:pPr>
        <w:tabs>
          <w:tab w:val="left" w:pos="1008"/>
        </w:tabs>
        <w:jc w:val="both"/>
        <w:rPr>
          <w:rFonts w:ascii="Century Gothic" w:hAnsi="Century Gothic"/>
          <w:bCs/>
        </w:rPr>
      </w:pPr>
      <w:r w:rsidRPr="002600E4">
        <w:rPr>
          <w:rFonts w:ascii="Century Gothic" w:hAnsi="Century Gothic"/>
          <w:bCs/>
        </w:rPr>
        <w:t>Parties were encouraged to incorporate ABS information-sharing activities into capacity-building plans. UNEP was invited to develop a global project to help developing countries engage with the Clearing-House, and the Global Environment Facility (GEF) was invited to fund such projects.</w:t>
      </w:r>
    </w:p>
    <w:p w14:paraId="011B647F" w14:textId="77777777" w:rsidR="00F12D17" w:rsidRDefault="00F12D17" w:rsidP="002600E4">
      <w:pPr>
        <w:tabs>
          <w:tab w:val="left" w:pos="1008"/>
        </w:tabs>
        <w:jc w:val="both"/>
        <w:rPr>
          <w:rFonts w:ascii="Century Gothic" w:hAnsi="Century Gothic"/>
          <w:bCs/>
        </w:rPr>
      </w:pPr>
    </w:p>
    <w:p w14:paraId="11645118" w14:textId="05B16279" w:rsidR="002600E4" w:rsidRPr="002600E4" w:rsidRDefault="002600E4" w:rsidP="002600E4">
      <w:pPr>
        <w:tabs>
          <w:tab w:val="left" w:pos="1008"/>
        </w:tabs>
        <w:jc w:val="both"/>
        <w:rPr>
          <w:rFonts w:ascii="Century Gothic" w:hAnsi="Century Gothic"/>
          <w:bCs/>
        </w:rPr>
      </w:pPr>
      <w:r w:rsidRPr="002600E4">
        <w:rPr>
          <w:rFonts w:ascii="Century Gothic" w:hAnsi="Century Gothic"/>
          <w:bCs/>
        </w:rPr>
        <w:t>The Secretariat was tasked with continuing to support and improve the ABS Clearing-House, providing technical guidance, and holding an Informal Advisory Committee meeting to gather input and report progress at the next MOP.</w:t>
      </w:r>
    </w:p>
    <w:p w14:paraId="5087BCF1" w14:textId="77777777" w:rsidR="002600E4" w:rsidRPr="002600E4" w:rsidRDefault="002600E4" w:rsidP="002600E4">
      <w:pPr>
        <w:tabs>
          <w:tab w:val="left" w:pos="1008"/>
        </w:tabs>
        <w:jc w:val="both"/>
        <w:rPr>
          <w:rFonts w:ascii="Century Gothic" w:hAnsi="Century Gothic"/>
          <w:bCs/>
        </w:rPr>
      </w:pPr>
    </w:p>
    <w:p w14:paraId="02683E60" w14:textId="12EB19E1" w:rsidR="002600E4" w:rsidRPr="00F12D17" w:rsidRDefault="002600E4" w:rsidP="002600E4">
      <w:pPr>
        <w:tabs>
          <w:tab w:val="left" w:pos="1008"/>
        </w:tabs>
        <w:jc w:val="both"/>
        <w:rPr>
          <w:rFonts w:ascii="Century Gothic" w:hAnsi="Century Gothic"/>
          <w:b/>
          <w:bCs/>
        </w:rPr>
      </w:pPr>
      <w:r w:rsidRPr="00F12D17">
        <w:rPr>
          <w:rFonts w:ascii="Century Gothic" w:hAnsi="Century Gothic"/>
          <w:b/>
          <w:bCs/>
        </w:rPr>
        <w:t xml:space="preserve">Recommendations </w:t>
      </w:r>
    </w:p>
    <w:p w14:paraId="742D8DA9" w14:textId="77777777" w:rsidR="002600E4" w:rsidRPr="002600E4" w:rsidRDefault="002600E4" w:rsidP="002600E4">
      <w:pPr>
        <w:tabs>
          <w:tab w:val="left" w:pos="1008"/>
        </w:tabs>
        <w:jc w:val="both"/>
        <w:rPr>
          <w:rFonts w:ascii="Century Gothic" w:hAnsi="Century Gothic"/>
          <w:bCs/>
        </w:rPr>
      </w:pPr>
    </w:p>
    <w:p w14:paraId="12A093B8" w14:textId="75BC6EAA" w:rsidR="002600E4" w:rsidRPr="002600E4" w:rsidRDefault="002600E4" w:rsidP="002600E4">
      <w:pPr>
        <w:tabs>
          <w:tab w:val="left" w:pos="1008"/>
        </w:tabs>
        <w:jc w:val="both"/>
        <w:rPr>
          <w:rFonts w:ascii="Century Gothic" w:hAnsi="Century Gothic"/>
          <w:bCs/>
        </w:rPr>
      </w:pPr>
      <w:r w:rsidRPr="002600E4">
        <w:rPr>
          <w:rFonts w:ascii="Century Gothic" w:hAnsi="Century Gothic"/>
          <w:bCs/>
        </w:rPr>
        <w:t>Kenya should ensure that all mandatory ABS information is consistently published and updated on the ABS Clearing-House. This can include information on permits, regulations, and benefit-sharing agreements to increase transparency and support international cooperation.</w:t>
      </w:r>
    </w:p>
    <w:p w14:paraId="354FC60C" w14:textId="77777777" w:rsidR="002600E4" w:rsidRPr="002600E4" w:rsidRDefault="002600E4" w:rsidP="002600E4">
      <w:pPr>
        <w:tabs>
          <w:tab w:val="left" w:pos="1008"/>
        </w:tabs>
        <w:jc w:val="both"/>
        <w:rPr>
          <w:rFonts w:ascii="Century Gothic" w:hAnsi="Century Gothic"/>
          <w:bCs/>
        </w:rPr>
      </w:pPr>
    </w:p>
    <w:p w14:paraId="506D89C8" w14:textId="6FC02E72" w:rsidR="002600E4" w:rsidRPr="002600E4" w:rsidRDefault="002600E4" w:rsidP="002600E4">
      <w:pPr>
        <w:tabs>
          <w:tab w:val="left" w:pos="1008"/>
        </w:tabs>
        <w:jc w:val="both"/>
        <w:rPr>
          <w:rFonts w:ascii="Century Gothic" w:hAnsi="Century Gothic"/>
          <w:bCs/>
        </w:rPr>
      </w:pPr>
      <w:r w:rsidRPr="002600E4">
        <w:rPr>
          <w:rFonts w:ascii="Century Gothic" w:hAnsi="Century Gothic"/>
          <w:bCs/>
        </w:rPr>
        <w:t>Kenya prioritize ABS information-sharing activities within its capacity-building programs. Collaborating with UNEP and the GEF to access resources for ABS projects would strengthen national capacities in managing genetic resources and fulfilling obligations under the Nagoya Protocol.</w:t>
      </w:r>
    </w:p>
    <w:p w14:paraId="154BAC2E" w14:textId="77777777" w:rsidR="002600E4" w:rsidRPr="002600E4" w:rsidRDefault="002600E4" w:rsidP="002600E4">
      <w:pPr>
        <w:tabs>
          <w:tab w:val="left" w:pos="1008"/>
        </w:tabs>
        <w:jc w:val="both"/>
        <w:rPr>
          <w:rFonts w:ascii="Century Gothic" w:hAnsi="Century Gothic"/>
          <w:bCs/>
        </w:rPr>
      </w:pPr>
    </w:p>
    <w:p w14:paraId="1319111E" w14:textId="5CAB8DEC" w:rsidR="002600E4" w:rsidRPr="002600E4" w:rsidRDefault="002600E4" w:rsidP="002600E4">
      <w:pPr>
        <w:tabs>
          <w:tab w:val="left" w:pos="1008"/>
        </w:tabs>
        <w:jc w:val="both"/>
        <w:rPr>
          <w:rFonts w:ascii="Century Gothic" w:hAnsi="Century Gothic"/>
          <w:bCs/>
        </w:rPr>
      </w:pPr>
      <w:r w:rsidRPr="002600E4">
        <w:rPr>
          <w:rFonts w:ascii="Century Gothic" w:hAnsi="Century Gothic"/>
          <w:bCs/>
        </w:rPr>
        <w:t>Kenya should explore opportunities to participate in UNEP’s global ABS capacity-building initiatives. This could involve workshops, training, or partnerships to enhance the technical skills needed to manage and use the ABS Clearing-House effectively.</w:t>
      </w:r>
    </w:p>
    <w:p w14:paraId="43B26C69" w14:textId="77777777" w:rsidR="002600E4" w:rsidRPr="002600E4" w:rsidRDefault="002600E4" w:rsidP="002600E4">
      <w:pPr>
        <w:tabs>
          <w:tab w:val="left" w:pos="1008"/>
        </w:tabs>
        <w:jc w:val="both"/>
        <w:rPr>
          <w:rFonts w:ascii="Century Gothic" w:hAnsi="Century Gothic"/>
          <w:bCs/>
        </w:rPr>
      </w:pPr>
    </w:p>
    <w:p w14:paraId="2EF5E10C" w14:textId="4E6D294B" w:rsidR="002600E4" w:rsidRPr="002600E4" w:rsidRDefault="002600E4" w:rsidP="002600E4">
      <w:pPr>
        <w:tabs>
          <w:tab w:val="left" w:pos="1008"/>
        </w:tabs>
        <w:jc w:val="both"/>
        <w:rPr>
          <w:rFonts w:ascii="Century Gothic" w:hAnsi="Century Gothic"/>
          <w:bCs/>
        </w:rPr>
      </w:pPr>
      <w:r w:rsidRPr="002600E4">
        <w:rPr>
          <w:rFonts w:ascii="Century Gothic" w:hAnsi="Century Gothic"/>
          <w:bCs/>
        </w:rPr>
        <w:t xml:space="preserve">Kenya </w:t>
      </w:r>
      <w:r w:rsidR="00F12D17">
        <w:rPr>
          <w:rFonts w:ascii="Century Gothic" w:hAnsi="Century Gothic"/>
          <w:bCs/>
        </w:rPr>
        <w:t>work</w:t>
      </w:r>
      <w:r w:rsidRPr="002600E4">
        <w:rPr>
          <w:rFonts w:ascii="Century Gothic" w:hAnsi="Century Gothic"/>
          <w:bCs/>
        </w:rPr>
        <w:t xml:space="preserve"> closely with the Secretariat for technical support in using the ABS Clearing-House and utilize any guidelines or resources developed by the Secretariat. This would improve Kenya’s contribution to and benefit from the global ABS information-sharing system.</w:t>
      </w:r>
    </w:p>
    <w:p w14:paraId="29C7483A" w14:textId="77777777" w:rsidR="002600E4" w:rsidRPr="002600E4" w:rsidRDefault="002600E4" w:rsidP="002600E4">
      <w:pPr>
        <w:tabs>
          <w:tab w:val="left" w:pos="1008"/>
        </w:tabs>
        <w:jc w:val="both"/>
        <w:rPr>
          <w:rFonts w:ascii="Century Gothic" w:hAnsi="Century Gothic"/>
          <w:bCs/>
        </w:rPr>
      </w:pPr>
    </w:p>
    <w:p w14:paraId="4C9022E1" w14:textId="43BB9C43" w:rsidR="003E6344" w:rsidRPr="0061689D" w:rsidRDefault="002600E4" w:rsidP="00A70F76">
      <w:pPr>
        <w:tabs>
          <w:tab w:val="left" w:pos="1008"/>
        </w:tabs>
        <w:jc w:val="both"/>
        <w:rPr>
          <w:rFonts w:ascii="Century Gothic" w:hAnsi="Century Gothic"/>
        </w:rPr>
      </w:pPr>
      <w:r w:rsidRPr="002600E4">
        <w:rPr>
          <w:rFonts w:ascii="Century Gothic" w:hAnsi="Century Gothic"/>
          <w:bCs/>
        </w:rPr>
        <w:t>Participating in feedback mechanisms for the ABS Clearing-House would help Kenya shape the system to better meet its needs. Engaging with the Informal Advisory Committee and providing input can ensure that the Clearing-House evolves in a way that is beneficial for developing countries.</w:t>
      </w:r>
    </w:p>
    <w:p w14:paraId="4A5C6CFA" w14:textId="13C7D145" w:rsidR="003E6344" w:rsidRDefault="003E6344">
      <w:pPr>
        <w:rPr>
          <w:rFonts w:ascii="Century Gothic" w:hAnsi="Century Gothic"/>
        </w:rPr>
      </w:pPr>
    </w:p>
    <w:p w14:paraId="3736D40F" w14:textId="4D7210A0" w:rsidR="00A70F76" w:rsidRPr="00944605" w:rsidRDefault="00A70F76" w:rsidP="00C75135">
      <w:pPr>
        <w:pStyle w:val="Heading1"/>
        <w:rPr>
          <w:b/>
        </w:rPr>
      </w:pPr>
      <w:bookmarkStart w:id="11" w:name="_Toc187242802"/>
      <w:r w:rsidRPr="00944605">
        <w:rPr>
          <w:b/>
        </w:rPr>
        <w:t>SIDE EVENTS</w:t>
      </w:r>
      <w:bookmarkEnd w:id="11"/>
    </w:p>
    <w:p w14:paraId="0260E4C2" w14:textId="77777777" w:rsidR="00E800BA" w:rsidRDefault="00E800BA">
      <w:pPr>
        <w:rPr>
          <w:rFonts w:ascii="Century Gothic" w:hAnsi="Century Gothic"/>
          <w:b/>
        </w:rPr>
      </w:pPr>
    </w:p>
    <w:p w14:paraId="5A3485A5" w14:textId="64710984" w:rsidR="00E800BA" w:rsidRDefault="00E800BA" w:rsidP="00C75135">
      <w:pPr>
        <w:pStyle w:val="Heading2"/>
      </w:pPr>
      <w:bookmarkStart w:id="12" w:name="_Toc187242803"/>
      <w:r w:rsidRPr="00E800BA">
        <w:t>National Clearing House Mechanism and Bioland 2.0</w:t>
      </w:r>
      <w:bookmarkEnd w:id="12"/>
    </w:p>
    <w:p w14:paraId="13C40318" w14:textId="77777777" w:rsidR="00E800BA" w:rsidRDefault="00E800BA">
      <w:pPr>
        <w:rPr>
          <w:rFonts w:ascii="Century Gothic" w:hAnsi="Century Gothic"/>
          <w:b/>
        </w:rPr>
      </w:pPr>
    </w:p>
    <w:p w14:paraId="61B77C38" w14:textId="5F86F8B3" w:rsidR="00E800BA" w:rsidRDefault="00E800BA">
      <w:pPr>
        <w:rPr>
          <w:rFonts w:ascii="Century Gothic" w:hAnsi="Century Gothic"/>
          <w:b/>
        </w:rPr>
      </w:pPr>
      <w:r>
        <w:rPr>
          <w:rFonts w:ascii="Century Gothic" w:hAnsi="Century Gothic"/>
          <w:b/>
        </w:rPr>
        <w:t>23</w:t>
      </w:r>
      <w:r w:rsidRPr="00E800BA">
        <w:rPr>
          <w:rFonts w:ascii="Century Gothic" w:hAnsi="Century Gothic"/>
          <w:b/>
          <w:vertAlign w:val="superscript"/>
        </w:rPr>
        <w:t>rd</w:t>
      </w:r>
      <w:r>
        <w:rPr>
          <w:rFonts w:ascii="Century Gothic" w:hAnsi="Century Gothic"/>
          <w:b/>
        </w:rPr>
        <w:t xml:space="preserve"> </w:t>
      </w:r>
      <w:r w:rsidRPr="00E800BA">
        <w:rPr>
          <w:rFonts w:ascii="Century Gothic" w:hAnsi="Century Gothic"/>
          <w:b/>
        </w:rPr>
        <w:t>Wednesday 2024.10.23 at 13:20</w:t>
      </w:r>
    </w:p>
    <w:p w14:paraId="5B5B789E" w14:textId="77777777" w:rsidR="00E800BA" w:rsidRDefault="00E800BA">
      <w:pPr>
        <w:rPr>
          <w:rFonts w:ascii="Century Gothic" w:hAnsi="Century Gothic"/>
          <w:b/>
        </w:rPr>
      </w:pPr>
    </w:p>
    <w:p w14:paraId="2F11853D" w14:textId="52A85315" w:rsidR="00944605" w:rsidRDefault="00944605" w:rsidP="00944605">
      <w:pPr>
        <w:jc w:val="center"/>
        <w:rPr>
          <w:rFonts w:ascii="Century Gothic" w:hAnsi="Century Gothic"/>
          <w:b/>
        </w:rPr>
      </w:pPr>
      <w:r>
        <w:rPr>
          <w:rFonts w:ascii="Century Gothic" w:hAnsi="Century Gothic"/>
          <w:b/>
          <w:noProof/>
          <w:lang w:val="en-GB" w:eastAsia="en-GB"/>
        </w:rPr>
        <w:drawing>
          <wp:inline distT="0" distB="0" distL="0" distR="0" wp14:anchorId="1E882DF7" wp14:editId="4F241A39">
            <wp:extent cx="2428875" cy="3508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1023_144306_931@2720948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269" cy="3510509"/>
                    </a:xfrm>
                    <a:prstGeom prst="rect">
                      <a:avLst/>
                    </a:prstGeom>
                  </pic:spPr>
                </pic:pic>
              </a:graphicData>
            </a:graphic>
          </wp:inline>
        </w:drawing>
      </w:r>
    </w:p>
    <w:p w14:paraId="449A8DBE" w14:textId="19C41088" w:rsidR="00E800BA" w:rsidRPr="00FB2C39" w:rsidRDefault="00944605" w:rsidP="00E800BA">
      <w:pPr>
        <w:rPr>
          <w:rFonts w:ascii="Century Gothic" w:hAnsi="Century Gothic"/>
          <w:b/>
        </w:rPr>
      </w:pPr>
      <w:r w:rsidRPr="00FB2C39">
        <w:rPr>
          <w:rFonts w:ascii="Century Gothic" w:hAnsi="Century Gothic"/>
          <w:b/>
        </w:rPr>
        <w:t>The Executive Secretary at the side event on CHM stressing the importance of K</w:t>
      </w:r>
      <w:r w:rsidR="00FB2C39" w:rsidRPr="00FB2C39">
        <w:rPr>
          <w:rFonts w:ascii="Century Gothic" w:hAnsi="Century Gothic"/>
          <w:b/>
        </w:rPr>
        <w:t>nowledge Management for effective implementation of GBF</w:t>
      </w:r>
    </w:p>
    <w:p w14:paraId="11BAEABB" w14:textId="77777777" w:rsidR="00FB2C39" w:rsidRDefault="00FB2C39" w:rsidP="00E800BA">
      <w:pPr>
        <w:rPr>
          <w:rFonts w:ascii="Century Gothic" w:hAnsi="Century Gothic"/>
        </w:rPr>
      </w:pPr>
    </w:p>
    <w:p w14:paraId="783C8318" w14:textId="4ACBB9B0" w:rsidR="00E800BA" w:rsidRPr="00E800BA" w:rsidRDefault="00E800BA" w:rsidP="00E800BA">
      <w:pPr>
        <w:rPr>
          <w:rFonts w:ascii="Century Gothic" w:hAnsi="Century Gothic"/>
        </w:rPr>
      </w:pPr>
      <w:r w:rsidRPr="00E800BA">
        <w:rPr>
          <w:rFonts w:ascii="Century Gothic" w:hAnsi="Century Gothic"/>
        </w:rPr>
        <w:t xml:space="preserve">The side event on National Clearing House Mechanism (CHM) and Bioland 2.0 drew significant participation from </w:t>
      </w:r>
      <w:r>
        <w:rPr>
          <w:rFonts w:ascii="Century Gothic" w:hAnsi="Century Gothic"/>
        </w:rPr>
        <w:t>party</w:t>
      </w:r>
      <w:r w:rsidRPr="00E800BA">
        <w:rPr>
          <w:rFonts w:ascii="Century Gothic" w:hAnsi="Century Gothic"/>
        </w:rPr>
        <w:t xml:space="preserve"> delegates, representatives of national </w:t>
      </w:r>
      <w:r>
        <w:rPr>
          <w:rFonts w:ascii="Century Gothic" w:hAnsi="Century Gothic"/>
        </w:rPr>
        <w:t>CBD focal points</w:t>
      </w:r>
      <w:r w:rsidRPr="00E800BA">
        <w:rPr>
          <w:rFonts w:ascii="Century Gothic" w:hAnsi="Century Gothic"/>
        </w:rPr>
        <w:t>, technical experts, and NGOs focused on biodiversity data sharing and management.</w:t>
      </w:r>
    </w:p>
    <w:p w14:paraId="447E3517" w14:textId="77777777" w:rsidR="00E800BA" w:rsidRPr="00E800BA" w:rsidRDefault="00E800BA" w:rsidP="00E800BA">
      <w:pPr>
        <w:rPr>
          <w:rFonts w:ascii="Century Gothic" w:hAnsi="Century Gothic"/>
        </w:rPr>
      </w:pPr>
    </w:p>
    <w:p w14:paraId="38C7997C" w14:textId="784B15D8" w:rsidR="00E800BA" w:rsidRPr="00E800BA" w:rsidRDefault="00E800BA" w:rsidP="00E800BA">
      <w:pPr>
        <w:rPr>
          <w:rFonts w:ascii="Century Gothic" w:hAnsi="Century Gothic"/>
        </w:rPr>
      </w:pPr>
      <w:r w:rsidRPr="00E800BA">
        <w:rPr>
          <w:rFonts w:ascii="Century Gothic" w:hAnsi="Century Gothic"/>
        </w:rPr>
        <w:t xml:space="preserve">Approximately 50 attendees comprised a diverse group, including government officials from biodiversity and environmental agencies, IT and database experts, </w:t>
      </w:r>
      <w:r w:rsidRPr="00E800BA">
        <w:rPr>
          <w:rFonts w:ascii="Century Gothic" w:hAnsi="Century Gothic"/>
        </w:rPr>
        <w:lastRenderedPageBreak/>
        <w:t>as well as representatives from civil society and international organizations involved in capacity-building and biodiversity information management.</w:t>
      </w:r>
    </w:p>
    <w:p w14:paraId="5C57F3A0" w14:textId="77777777" w:rsidR="00E800BA" w:rsidRPr="00E800BA" w:rsidRDefault="00E800BA" w:rsidP="00E800BA">
      <w:pPr>
        <w:rPr>
          <w:rFonts w:ascii="Century Gothic" w:hAnsi="Century Gothic"/>
        </w:rPr>
      </w:pPr>
    </w:p>
    <w:p w14:paraId="352A2934" w14:textId="77777777" w:rsidR="00E800BA" w:rsidRPr="00E800BA" w:rsidRDefault="00E800BA" w:rsidP="00E800BA">
      <w:pPr>
        <w:rPr>
          <w:rFonts w:ascii="Century Gothic" w:hAnsi="Century Gothic"/>
        </w:rPr>
      </w:pPr>
      <w:r w:rsidRPr="00E800BA">
        <w:rPr>
          <w:rFonts w:ascii="Century Gothic" w:hAnsi="Century Gothic"/>
        </w:rPr>
        <w:t>Panelists: The panel featured key speakers, including:</w:t>
      </w:r>
    </w:p>
    <w:p w14:paraId="2D7B6ED5" w14:textId="77777777" w:rsidR="00E800BA" w:rsidRPr="00E800BA" w:rsidRDefault="00E800BA" w:rsidP="00E800BA">
      <w:pPr>
        <w:rPr>
          <w:rFonts w:ascii="Century Gothic" w:hAnsi="Century Gothic"/>
        </w:rPr>
      </w:pPr>
    </w:p>
    <w:p w14:paraId="7357AB08" w14:textId="543AF299" w:rsidR="00E800BA" w:rsidRPr="00E800BA" w:rsidRDefault="00E800BA" w:rsidP="00E800BA">
      <w:pPr>
        <w:rPr>
          <w:rFonts w:ascii="Century Gothic" w:hAnsi="Century Gothic"/>
        </w:rPr>
      </w:pPr>
      <w:r w:rsidRPr="00E800BA">
        <w:rPr>
          <w:rFonts w:ascii="Century Gothic" w:hAnsi="Century Gothic"/>
        </w:rPr>
        <w:t xml:space="preserve">    Executive Secretary of the CBD: Provided an overview of </w:t>
      </w:r>
      <w:r>
        <w:rPr>
          <w:rFonts w:ascii="Century Gothic" w:hAnsi="Century Gothic"/>
        </w:rPr>
        <w:t>CHM</w:t>
      </w:r>
      <w:r w:rsidRPr="00E800BA">
        <w:rPr>
          <w:rFonts w:ascii="Century Gothic" w:hAnsi="Century Gothic"/>
        </w:rPr>
        <w:t xml:space="preserve"> evolution and its role in supporting national CHMs.</w:t>
      </w:r>
    </w:p>
    <w:p w14:paraId="054940F4" w14:textId="77777777" w:rsidR="00E800BA" w:rsidRPr="00E800BA" w:rsidRDefault="00E800BA" w:rsidP="00E800BA">
      <w:pPr>
        <w:rPr>
          <w:rFonts w:ascii="Century Gothic" w:hAnsi="Century Gothic"/>
        </w:rPr>
      </w:pPr>
      <w:r w:rsidRPr="00E800BA">
        <w:rPr>
          <w:rFonts w:ascii="Century Gothic" w:hAnsi="Century Gothic"/>
        </w:rPr>
        <w:t xml:space="preserve">    Lead Developer of Bioland Tool: Spoke on technical improvements in Bioland 2.0 and how it facilitates data interoperability and enhances information sharing.</w:t>
      </w:r>
    </w:p>
    <w:p w14:paraId="664D8B9B" w14:textId="7E913D04" w:rsidR="00E800BA" w:rsidRDefault="00E800BA" w:rsidP="00E800BA">
      <w:pPr>
        <w:rPr>
          <w:rFonts w:ascii="Century Gothic" w:hAnsi="Century Gothic"/>
        </w:rPr>
      </w:pPr>
      <w:r w:rsidRPr="00E800BA">
        <w:rPr>
          <w:rFonts w:ascii="Century Gothic" w:hAnsi="Century Gothic"/>
        </w:rPr>
        <w:t>Representatives from countries that have implemented Bioland 2.0 shared their experiences and best practices.</w:t>
      </w:r>
    </w:p>
    <w:p w14:paraId="049F5FCB" w14:textId="77777777" w:rsidR="00FB2C39" w:rsidRDefault="00FB2C39" w:rsidP="00E800BA">
      <w:pPr>
        <w:rPr>
          <w:rFonts w:ascii="Century Gothic" w:hAnsi="Century Gothic"/>
        </w:rPr>
      </w:pPr>
    </w:p>
    <w:p w14:paraId="712AB3D4" w14:textId="0A3C3503" w:rsidR="00FB2C39" w:rsidRDefault="00FB2C39" w:rsidP="00E800BA">
      <w:pPr>
        <w:rPr>
          <w:rFonts w:ascii="Century Gothic" w:hAnsi="Century Gothic"/>
        </w:rPr>
      </w:pPr>
      <w:r>
        <w:rPr>
          <w:rFonts w:ascii="Century Gothic" w:hAnsi="Century Gothic"/>
          <w:noProof/>
          <w:lang w:val="en-GB" w:eastAsia="en-GB"/>
        </w:rPr>
        <w:drawing>
          <wp:inline distT="0" distB="0" distL="0" distR="0" wp14:anchorId="42CA6E3C" wp14:editId="368FA39D">
            <wp:extent cx="3098800" cy="35623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41023_135411_327@-19046893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9974" cy="3563700"/>
                    </a:xfrm>
                    <a:prstGeom prst="rect">
                      <a:avLst/>
                    </a:prstGeom>
                  </pic:spPr>
                </pic:pic>
              </a:graphicData>
            </a:graphic>
          </wp:inline>
        </w:drawing>
      </w:r>
    </w:p>
    <w:p w14:paraId="3F849780" w14:textId="33A2CB50" w:rsidR="00FB2C39" w:rsidRPr="00FB2C39" w:rsidRDefault="00FB2C39" w:rsidP="00E800BA">
      <w:pPr>
        <w:rPr>
          <w:rFonts w:ascii="Century Gothic" w:hAnsi="Century Gothic"/>
          <w:b/>
        </w:rPr>
      </w:pPr>
      <w:r w:rsidRPr="00FB2C39">
        <w:rPr>
          <w:rFonts w:ascii="Century Gothic" w:hAnsi="Century Gothic"/>
          <w:b/>
        </w:rPr>
        <w:t>Panelist from CBD secretariat making a presentation</w:t>
      </w:r>
    </w:p>
    <w:p w14:paraId="1F1ECB7F" w14:textId="24DEAFB3" w:rsidR="00E800BA" w:rsidRPr="00E800BA" w:rsidRDefault="00E800BA" w:rsidP="00E800BA">
      <w:pPr>
        <w:rPr>
          <w:rFonts w:ascii="Century Gothic" w:hAnsi="Century Gothic"/>
        </w:rPr>
      </w:pPr>
      <w:r w:rsidRPr="00E800BA">
        <w:rPr>
          <w:rFonts w:ascii="Century Gothic" w:hAnsi="Century Gothic"/>
        </w:rPr>
        <w:t xml:space="preserve">    </w:t>
      </w:r>
    </w:p>
    <w:p w14:paraId="075E7EAD" w14:textId="77777777" w:rsidR="00FB2C39" w:rsidRDefault="00FB2C39" w:rsidP="00E800BA">
      <w:pPr>
        <w:rPr>
          <w:rFonts w:ascii="Century Gothic" w:hAnsi="Century Gothic"/>
          <w:b/>
        </w:rPr>
      </w:pPr>
    </w:p>
    <w:p w14:paraId="4F2E78AE" w14:textId="77777777" w:rsidR="00FB2C39" w:rsidRDefault="00FB2C39" w:rsidP="00E800BA">
      <w:pPr>
        <w:rPr>
          <w:rFonts w:ascii="Century Gothic" w:hAnsi="Century Gothic"/>
          <w:b/>
        </w:rPr>
      </w:pPr>
    </w:p>
    <w:p w14:paraId="44D89024" w14:textId="77777777" w:rsidR="00FB2C39" w:rsidRDefault="00FB2C39" w:rsidP="00E800BA">
      <w:pPr>
        <w:rPr>
          <w:rFonts w:ascii="Century Gothic" w:hAnsi="Century Gothic"/>
          <w:b/>
        </w:rPr>
      </w:pPr>
    </w:p>
    <w:p w14:paraId="431E8241" w14:textId="77777777" w:rsidR="00FB2C39" w:rsidRDefault="00FB2C39" w:rsidP="00E800BA">
      <w:pPr>
        <w:rPr>
          <w:rFonts w:ascii="Century Gothic" w:hAnsi="Century Gothic"/>
          <w:b/>
        </w:rPr>
      </w:pPr>
    </w:p>
    <w:p w14:paraId="7B719476" w14:textId="77777777" w:rsidR="00E800BA" w:rsidRPr="00DF0437" w:rsidRDefault="00E800BA" w:rsidP="00E800BA">
      <w:pPr>
        <w:rPr>
          <w:rFonts w:ascii="Century Gothic" w:hAnsi="Century Gothic"/>
          <w:b/>
        </w:rPr>
      </w:pPr>
      <w:r w:rsidRPr="00DF0437">
        <w:rPr>
          <w:rFonts w:ascii="Century Gothic" w:hAnsi="Century Gothic"/>
          <w:b/>
        </w:rPr>
        <w:t>Summary of Key Discussions</w:t>
      </w:r>
    </w:p>
    <w:p w14:paraId="4F595E17" w14:textId="77777777" w:rsidR="00E800BA" w:rsidRPr="00E800BA" w:rsidRDefault="00E800BA" w:rsidP="00E800BA">
      <w:pPr>
        <w:rPr>
          <w:rFonts w:ascii="Century Gothic" w:hAnsi="Century Gothic"/>
        </w:rPr>
      </w:pPr>
    </w:p>
    <w:p w14:paraId="327B6F80" w14:textId="77777777" w:rsidR="00E800BA" w:rsidRPr="00E800BA" w:rsidRDefault="00E800BA" w:rsidP="00E800BA">
      <w:pPr>
        <w:rPr>
          <w:rFonts w:ascii="Century Gothic" w:hAnsi="Century Gothic"/>
        </w:rPr>
      </w:pPr>
      <w:r w:rsidRPr="00E800BA">
        <w:rPr>
          <w:rFonts w:ascii="Century Gothic" w:hAnsi="Century Gothic"/>
        </w:rPr>
        <w:t>The session highlighted the importance of Bioland 2.0 as an essential tool for enhancing national clearing-house mechanisms, making biodiversity data more accessible and user-friendly. Discussions centered on:</w:t>
      </w:r>
    </w:p>
    <w:p w14:paraId="44713E7E" w14:textId="77777777" w:rsidR="00E800BA" w:rsidRPr="00E800BA" w:rsidRDefault="00E800BA" w:rsidP="00E800BA">
      <w:pPr>
        <w:rPr>
          <w:rFonts w:ascii="Century Gothic" w:hAnsi="Century Gothic"/>
        </w:rPr>
      </w:pPr>
    </w:p>
    <w:p w14:paraId="47773C11" w14:textId="0E073993" w:rsidR="00E800BA" w:rsidRPr="00E800BA" w:rsidRDefault="00E800BA" w:rsidP="00E800BA">
      <w:pPr>
        <w:rPr>
          <w:rFonts w:ascii="Century Gothic" w:hAnsi="Century Gothic"/>
        </w:rPr>
      </w:pPr>
      <w:r w:rsidRPr="00E800BA">
        <w:rPr>
          <w:rFonts w:ascii="Century Gothic" w:hAnsi="Century Gothic"/>
        </w:rPr>
        <w:t>Bioland 2.0's improved functionalities for data management, including streamlined processes for data sharing and access, improved user interfaces, and stronger integration with international biodiversity databases.</w:t>
      </w:r>
    </w:p>
    <w:p w14:paraId="0CEB19F3" w14:textId="77777777" w:rsidR="00DF0437" w:rsidRDefault="00DF0437" w:rsidP="00E800BA">
      <w:pPr>
        <w:rPr>
          <w:rFonts w:ascii="Century Gothic" w:hAnsi="Century Gothic"/>
        </w:rPr>
      </w:pPr>
    </w:p>
    <w:p w14:paraId="44483F47" w14:textId="3D2699E7" w:rsidR="00E800BA" w:rsidRPr="00E800BA" w:rsidRDefault="00E800BA" w:rsidP="00E800BA">
      <w:pPr>
        <w:rPr>
          <w:rFonts w:ascii="Century Gothic" w:hAnsi="Century Gothic"/>
        </w:rPr>
      </w:pPr>
      <w:r w:rsidRPr="00E800BA">
        <w:rPr>
          <w:rFonts w:ascii="Century Gothic" w:hAnsi="Century Gothic"/>
        </w:rPr>
        <w:t>For countries lacking an established CHM website, Bioland 2.0 offers a ready-to-use template that populates country profiles with relevant data, which countries can then customize to meet national requirements.</w:t>
      </w:r>
    </w:p>
    <w:p w14:paraId="6ECBC70B" w14:textId="77777777" w:rsidR="00DF0437" w:rsidRDefault="00DF0437" w:rsidP="00E800BA">
      <w:pPr>
        <w:rPr>
          <w:rFonts w:ascii="Century Gothic" w:hAnsi="Century Gothic"/>
        </w:rPr>
      </w:pPr>
    </w:p>
    <w:p w14:paraId="22B05E3D" w14:textId="4638842F" w:rsidR="00E800BA" w:rsidRPr="00E800BA" w:rsidRDefault="00E800BA" w:rsidP="00E800BA">
      <w:pPr>
        <w:rPr>
          <w:rFonts w:ascii="Century Gothic" w:hAnsi="Century Gothic"/>
        </w:rPr>
      </w:pPr>
      <w:r w:rsidRPr="00E800BA">
        <w:rPr>
          <w:rFonts w:ascii="Century Gothic" w:hAnsi="Century Gothic"/>
        </w:rPr>
        <w:t>Many delegates emphasized the need for training and technical support to fully utilize Bioland 2.0’s functionalities, especially in developing countries with limited technical capacity.</w:t>
      </w:r>
    </w:p>
    <w:p w14:paraId="012E785A" w14:textId="77777777" w:rsidR="00DF0437" w:rsidRDefault="00DF0437" w:rsidP="00E800BA">
      <w:pPr>
        <w:rPr>
          <w:rFonts w:ascii="Century Gothic" w:hAnsi="Century Gothic"/>
        </w:rPr>
      </w:pPr>
    </w:p>
    <w:p w14:paraId="631BFCA9" w14:textId="23AB642B" w:rsidR="00E800BA" w:rsidRPr="00E800BA" w:rsidRDefault="00E800BA" w:rsidP="00E800BA">
      <w:pPr>
        <w:rPr>
          <w:rFonts w:ascii="Century Gothic" w:hAnsi="Century Gothic"/>
        </w:rPr>
      </w:pPr>
      <w:r w:rsidRPr="00E800BA">
        <w:rPr>
          <w:rFonts w:ascii="Century Gothic" w:hAnsi="Century Gothic"/>
        </w:rPr>
        <w:t>Panelists discussed strategies for integrating Bioland 2.0 with national monitoring and reporting systems, which could streamline reporting to the CBD and facilitate more efficient national biodiversity data management.</w:t>
      </w:r>
    </w:p>
    <w:p w14:paraId="43B8C991" w14:textId="77777777" w:rsidR="00E800BA" w:rsidRPr="00E800BA" w:rsidRDefault="00E800BA" w:rsidP="00E800BA">
      <w:pPr>
        <w:rPr>
          <w:rFonts w:ascii="Century Gothic" w:hAnsi="Century Gothic"/>
        </w:rPr>
      </w:pPr>
    </w:p>
    <w:p w14:paraId="2319A847" w14:textId="77777777" w:rsidR="00E800BA" w:rsidRPr="00DF0437" w:rsidRDefault="00E800BA" w:rsidP="00E800BA">
      <w:pPr>
        <w:rPr>
          <w:rFonts w:ascii="Century Gothic" w:hAnsi="Century Gothic"/>
          <w:b/>
        </w:rPr>
      </w:pPr>
      <w:r w:rsidRPr="00DF0437">
        <w:rPr>
          <w:rFonts w:ascii="Century Gothic" w:hAnsi="Century Gothic"/>
          <w:b/>
        </w:rPr>
        <w:t>Outcomes Relevant to Kenya’s Interests</w:t>
      </w:r>
    </w:p>
    <w:p w14:paraId="2A597526" w14:textId="77777777" w:rsidR="00E800BA" w:rsidRPr="00E800BA" w:rsidRDefault="00E800BA" w:rsidP="00E800BA">
      <w:pPr>
        <w:rPr>
          <w:rFonts w:ascii="Century Gothic" w:hAnsi="Century Gothic"/>
        </w:rPr>
      </w:pPr>
    </w:p>
    <w:p w14:paraId="11135D60" w14:textId="77777777" w:rsidR="00DF0437" w:rsidRDefault="00DF0437" w:rsidP="00E800BA">
      <w:pPr>
        <w:rPr>
          <w:rFonts w:ascii="Century Gothic" w:hAnsi="Century Gothic"/>
        </w:rPr>
      </w:pPr>
      <w:r>
        <w:rPr>
          <w:rFonts w:ascii="Century Gothic" w:hAnsi="Century Gothic"/>
        </w:rPr>
        <w:t xml:space="preserve"> </w:t>
      </w:r>
      <w:r w:rsidR="00E800BA" w:rsidRPr="00E800BA">
        <w:rPr>
          <w:rFonts w:ascii="Century Gothic" w:hAnsi="Century Gothic"/>
        </w:rPr>
        <w:t>Establishing Kenya’s CHM on Bioland 2.0: For Kenya, which is committed to advancing its biodiversity data and reporting capabilities, adopting Bioland 2.0 could enhance its national CHM platform.</w:t>
      </w:r>
    </w:p>
    <w:p w14:paraId="25F9EA1D" w14:textId="77777777" w:rsidR="00DF0437" w:rsidRDefault="00DF0437" w:rsidP="00E800BA">
      <w:pPr>
        <w:rPr>
          <w:rFonts w:ascii="Century Gothic" w:hAnsi="Century Gothic"/>
        </w:rPr>
      </w:pPr>
    </w:p>
    <w:p w14:paraId="01447B29" w14:textId="1083A913" w:rsidR="00E800BA" w:rsidRPr="00E800BA" w:rsidRDefault="00E800BA" w:rsidP="00E800BA">
      <w:pPr>
        <w:rPr>
          <w:rFonts w:ascii="Century Gothic" w:hAnsi="Century Gothic"/>
        </w:rPr>
      </w:pPr>
      <w:r w:rsidRPr="00E800BA">
        <w:rPr>
          <w:rFonts w:ascii="Century Gothic" w:hAnsi="Century Gothic"/>
        </w:rPr>
        <w:t>Capacity-Building Opportunities: The discussions underscored the availability of resources from UNEP and GEF for capacity-building in countries adopting Bioland 2.0. Kenya could apply for support to train personnel and build technical expertise, ensuring effective use and management of its CHM.</w:t>
      </w:r>
    </w:p>
    <w:p w14:paraId="3B3580C7" w14:textId="77777777" w:rsidR="00E800BA" w:rsidRPr="00E800BA" w:rsidRDefault="00E800BA" w:rsidP="00E800BA">
      <w:pPr>
        <w:rPr>
          <w:rFonts w:ascii="Century Gothic" w:hAnsi="Century Gothic"/>
        </w:rPr>
      </w:pPr>
    </w:p>
    <w:p w14:paraId="0E9A2492" w14:textId="61F88FA3" w:rsidR="00E800BA" w:rsidRPr="00E800BA" w:rsidRDefault="00E800BA" w:rsidP="00E800BA">
      <w:pPr>
        <w:rPr>
          <w:rFonts w:ascii="Century Gothic" w:hAnsi="Century Gothic"/>
        </w:rPr>
      </w:pPr>
      <w:r w:rsidRPr="00E800BA">
        <w:rPr>
          <w:rFonts w:ascii="Century Gothic" w:hAnsi="Century Gothic"/>
        </w:rPr>
        <w:t>Bioland 2.0’s integration features align with Kenya’s goals under the Global Biodiversity Framework to improve biodiversity monitoring and reporting. Utilizing Bioland could streamline Kenya’s reporting to the CBD, reduce reporting burdens, and promote compliance with international biodiversity commitments.</w:t>
      </w:r>
    </w:p>
    <w:p w14:paraId="4A799E8D" w14:textId="77777777" w:rsidR="00E800BA" w:rsidRPr="00E800BA" w:rsidRDefault="00E800BA" w:rsidP="00E800BA">
      <w:pPr>
        <w:rPr>
          <w:rFonts w:ascii="Century Gothic" w:hAnsi="Century Gothic"/>
        </w:rPr>
      </w:pPr>
    </w:p>
    <w:p w14:paraId="36C452D4" w14:textId="232ECB19" w:rsidR="00E800BA" w:rsidRPr="00E800BA" w:rsidRDefault="00E800BA" w:rsidP="00E800BA">
      <w:pPr>
        <w:rPr>
          <w:rFonts w:ascii="Century Gothic" w:hAnsi="Century Gothic"/>
        </w:rPr>
      </w:pPr>
      <w:r w:rsidRPr="00E800BA">
        <w:rPr>
          <w:rFonts w:ascii="Century Gothic" w:hAnsi="Century Gothic"/>
        </w:rPr>
        <w:t>The central CHM portal improvements support Kenya’s aims to engage in scientific cooperation and share biodiversity knowledge with regional and global partners, potentially boosting technical collaboration and knowledge exchange.</w:t>
      </w:r>
    </w:p>
    <w:p w14:paraId="24AA4D0F" w14:textId="77777777" w:rsidR="00E800BA" w:rsidRPr="00E800BA" w:rsidRDefault="00E800BA" w:rsidP="00E800BA">
      <w:pPr>
        <w:rPr>
          <w:rFonts w:ascii="Century Gothic" w:hAnsi="Century Gothic"/>
        </w:rPr>
      </w:pPr>
    </w:p>
    <w:p w14:paraId="1C32736C" w14:textId="77777777" w:rsidR="00E800BA" w:rsidRDefault="00E800BA">
      <w:pPr>
        <w:rPr>
          <w:rFonts w:ascii="Century Gothic" w:hAnsi="Century Gothic"/>
        </w:rPr>
      </w:pPr>
    </w:p>
    <w:p w14:paraId="64B2C5CA" w14:textId="1F937825" w:rsidR="00A7235E" w:rsidRPr="003251BD" w:rsidRDefault="003251BD" w:rsidP="00C75135">
      <w:pPr>
        <w:pStyle w:val="Heading2"/>
      </w:pPr>
      <w:bookmarkStart w:id="13" w:name="_Toc187242804"/>
      <w:r w:rsidRPr="003251BD">
        <w:t>Access and Benefit-Sharing Clearing-House Training Workshop</w:t>
      </w:r>
      <w:bookmarkEnd w:id="13"/>
    </w:p>
    <w:p w14:paraId="395ABEC2" w14:textId="77777777" w:rsidR="00A7235E" w:rsidRPr="00A7235E" w:rsidRDefault="00A7235E" w:rsidP="004D04E7">
      <w:pPr>
        <w:ind w:firstLine="720"/>
        <w:rPr>
          <w:rFonts w:ascii="Century Gothic" w:hAnsi="Century Gothic"/>
        </w:rPr>
      </w:pPr>
    </w:p>
    <w:p w14:paraId="6954F34A" w14:textId="77777777" w:rsidR="00A7235E" w:rsidRPr="00A7235E" w:rsidRDefault="00A7235E" w:rsidP="00A7235E">
      <w:pPr>
        <w:rPr>
          <w:rFonts w:ascii="Century Gothic" w:hAnsi="Century Gothic"/>
        </w:rPr>
      </w:pPr>
      <w:r w:rsidRPr="00A7235E">
        <w:rPr>
          <w:rFonts w:ascii="Century Gothic" w:hAnsi="Century Gothic"/>
        </w:rPr>
        <w:t xml:space="preserve">    </w:t>
      </w:r>
      <w:r w:rsidRPr="003251BD">
        <w:rPr>
          <w:rFonts w:ascii="Century Gothic" w:hAnsi="Century Gothic"/>
          <w:b/>
        </w:rPr>
        <w:t>Date and Location</w:t>
      </w:r>
      <w:r w:rsidRPr="00A7235E">
        <w:rPr>
          <w:rFonts w:ascii="Century Gothic" w:hAnsi="Century Gothic"/>
        </w:rPr>
        <w:t>: 27 October 2024, Centro de Eventos Valle del Pacifico, Cali, Colombia, Room: Malpelo (CG 1) - Plaza 1</w:t>
      </w:r>
    </w:p>
    <w:p w14:paraId="7774F76F" w14:textId="77777777" w:rsidR="003251BD" w:rsidRDefault="00A7235E" w:rsidP="00A7235E">
      <w:pPr>
        <w:rPr>
          <w:rFonts w:ascii="Century Gothic" w:hAnsi="Century Gothic"/>
        </w:rPr>
      </w:pPr>
      <w:r w:rsidRPr="00A7235E">
        <w:rPr>
          <w:rFonts w:ascii="Century Gothic" w:hAnsi="Century Gothic"/>
        </w:rPr>
        <w:lastRenderedPageBreak/>
        <w:t xml:space="preserve">    </w:t>
      </w:r>
    </w:p>
    <w:p w14:paraId="55E95C52" w14:textId="13D9AB69" w:rsidR="006B745E" w:rsidRDefault="006B745E" w:rsidP="006B745E">
      <w:pPr>
        <w:jc w:val="center"/>
        <w:rPr>
          <w:rFonts w:ascii="Century Gothic" w:hAnsi="Century Gothic"/>
          <w:b/>
        </w:rPr>
      </w:pPr>
      <w:r>
        <w:rPr>
          <w:rFonts w:ascii="Century Gothic" w:hAnsi="Century Gothic"/>
          <w:b/>
          <w:noProof/>
          <w:lang w:val="en-GB" w:eastAsia="en-GB"/>
        </w:rPr>
        <w:drawing>
          <wp:inline distT="0" distB="0" distL="0" distR="0" wp14:anchorId="20919883" wp14:editId="5AF8D276">
            <wp:extent cx="3355975" cy="360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41027_094809_919@-861937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6944" cy="3601490"/>
                    </a:xfrm>
                    <a:prstGeom prst="rect">
                      <a:avLst/>
                    </a:prstGeom>
                  </pic:spPr>
                </pic:pic>
              </a:graphicData>
            </a:graphic>
          </wp:inline>
        </w:drawing>
      </w:r>
    </w:p>
    <w:p w14:paraId="16AED4CF" w14:textId="572743F3" w:rsidR="006B745E" w:rsidRDefault="006B745E" w:rsidP="006B745E">
      <w:pPr>
        <w:jc w:val="center"/>
        <w:rPr>
          <w:rFonts w:ascii="Century Gothic" w:hAnsi="Century Gothic"/>
          <w:b/>
        </w:rPr>
      </w:pPr>
      <w:r>
        <w:rPr>
          <w:rFonts w:ascii="Century Gothic" w:hAnsi="Century Gothic"/>
          <w:b/>
        </w:rPr>
        <w:t>Panelists at the event</w:t>
      </w:r>
    </w:p>
    <w:p w14:paraId="7B063D6A" w14:textId="02677468" w:rsidR="00A7235E" w:rsidRPr="00A7235E" w:rsidRDefault="00A7235E" w:rsidP="00A7235E">
      <w:pPr>
        <w:rPr>
          <w:rFonts w:ascii="Century Gothic" w:hAnsi="Century Gothic"/>
        </w:rPr>
      </w:pPr>
      <w:r w:rsidRPr="00A7235E">
        <w:rPr>
          <w:rFonts w:ascii="Century Gothic" w:hAnsi="Century Gothic"/>
        </w:rPr>
        <w:t>The workshop was well-attended including government officials, national ABS focal points, legal experts, and representatives from international organizations involved in biodiversity and the Nagoya Protocol.</w:t>
      </w:r>
    </w:p>
    <w:p w14:paraId="396EFC0D" w14:textId="46F14EEF" w:rsidR="00A7235E" w:rsidRPr="00A7235E" w:rsidRDefault="00A7235E" w:rsidP="00A7235E">
      <w:pPr>
        <w:rPr>
          <w:rFonts w:ascii="Century Gothic" w:hAnsi="Century Gothic"/>
        </w:rPr>
      </w:pPr>
      <w:r w:rsidRPr="00A7235E">
        <w:rPr>
          <w:rFonts w:ascii="Century Gothic" w:hAnsi="Century Gothic"/>
        </w:rPr>
        <w:t>The audience was primarily made up of ABS focal points from various countries, technical experts, and policy makers who are directly involved in implementing the Nagoya Protocol and its ABS Clearing-House platform.</w:t>
      </w:r>
    </w:p>
    <w:p w14:paraId="71C851F7" w14:textId="77777777" w:rsidR="00A7235E" w:rsidRPr="003251BD" w:rsidRDefault="00A7235E" w:rsidP="00A7235E">
      <w:pPr>
        <w:rPr>
          <w:rFonts w:ascii="Century Gothic" w:hAnsi="Century Gothic"/>
          <w:b/>
        </w:rPr>
      </w:pPr>
      <w:r w:rsidRPr="00A7235E">
        <w:rPr>
          <w:rFonts w:ascii="Century Gothic" w:hAnsi="Century Gothic"/>
        </w:rPr>
        <w:t xml:space="preserve">    </w:t>
      </w:r>
      <w:r w:rsidRPr="003251BD">
        <w:rPr>
          <w:rFonts w:ascii="Century Gothic" w:hAnsi="Century Gothic"/>
          <w:b/>
        </w:rPr>
        <w:t>Panelists:</w:t>
      </w:r>
    </w:p>
    <w:p w14:paraId="2CFD695E" w14:textId="2E2EB5CB" w:rsidR="00A7235E" w:rsidRPr="00A7235E" w:rsidRDefault="00A7235E" w:rsidP="00A7235E">
      <w:pPr>
        <w:rPr>
          <w:rFonts w:ascii="Century Gothic" w:hAnsi="Century Gothic"/>
        </w:rPr>
      </w:pPr>
      <w:r w:rsidRPr="003251BD">
        <w:rPr>
          <w:rFonts w:ascii="Century Gothic" w:hAnsi="Century Gothic"/>
          <w:b/>
        </w:rPr>
        <w:t>ABS Clearing-House Coordinator</w:t>
      </w:r>
      <w:r w:rsidRPr="00A7235E">
        <w:rPr>
          <w:rFonts w:ascii="Century Gothic" w:hAnsi="Century Gothic"/>
        </w:rPr>
        <w:t>: Provided an overview of the platform’s functionality, updates, and the strategic vision behind it.</w:t>
      </w:r>
    </w:p>
    <w:p w14:paraId="10BFFFB6" w14:textId="51010084" w:rsidR="00A7235E" w:rsidRPr="00A7235E" w:rsidRDefault="00A7235E" w:rsidP="00A7235E">
      <w:pPr>
        <w:rPr>
          <w:rFonts w:ascii="Century Gothic" w:hAnsi="Century Gothic"/>
        </w:rPr>
      </w:pPr>
      <w:r w:rsidRPr="003251BD">
        <w:rPr>
          <w:rFonts w:ascii="Century Gothic" w:hAnsi="Century Gothic"/>
          <w:b/>
        </w:rPr>
        <w:t>Legal and Technical Experts</w:t>
      </w:r>
      <w:r w:rsidRPr="00A7235E">
        <w:rPr>
          <w:rFonts w:ascii="Century Gothic" w:hAnsi="Century Gothic"/>
        </w:rPr>
        <w:t>: Discussed key legal and practical aspects of the ABS Clearing-House, highlighting challenges faced by national users and the importance of accurate information.</w:t>
      </w:r>
    </w:p>
    <w:p w14:paraId="30C1A450" w14:textId="50537EA7" w:rsidR="00A7235E" w:rsidRPr="00A7235E" w:rsidRDefault="00A7235E" w:rsidP="00A7235E">
      <w:pPr>
        <w:rPr>
          <w:rFonts w:ascii="Century Gothic" w:hAnsi="Century Gothic"/>
        </w:rPr>
      </w:pPr>
      <w:r w:rsidRPr="00A7235E">
        <w:rPr>
          <w:rFonts w:ascii="Century Gothic" w:hAnsi="Century Gothic"/>
        </w:rPr>
        <w:t xml:space="preserve">Several </w:t>
      </w:r>
      <w:r w:rsidR="003251BD">
        <w:rPr>
          <w:rFonts w:ascii="Century Gothic" w:hAnsi="Century Gothic"/>
        </w:rPr>
        <w:t>parties</w:t>
      </w:r>
      <w:r w:rsidRPr="00A7235E">
        <w:rPr>
          <w:rFonts w:ascii="Century Gothic" w:hAnsi="Century Gothic"/>
        </w:rPr>
        <w:t xml:space="preserve"> shared their experiences and challenges in integrating national ABS information with the global clearing-house platform.</w:t>
      </w:r>
    </w:p>
    <w:p w14:paraId="1E1CF5CD" w14:textId="22D42C1C" w:rsidR="00A7235E" w:rsidRPr="00A7235E" w:rsidRDefault="00A7235E" w:rsidP="00A7235E">
      <w:pPr>
        <w:rPr>
          <w:rFonts w:ascii="Century Gothic" w:hAnsi="Century Gothic"/>
        </w:rPr>
      </w:pPr>
      <w:r w:rsidRPr="003251BD">
        <w:rPr>
          <w:rFonts w:ascii="Century Gothic" w:hAnsi="Century Gothic"/>
          <w:b/>
        </w:rPr>
        <w:t>Representatives from UNEP and CBD Secretariat</w:t>
      </w:r>
      <w:r w:rsidRPr="00A7235E">
        <w:rPr>
          <w:rFonts w:ascii="Century Gothic" w:hAnsi="Century Gothic"/>
        </w:rPr>
        <w:t>: Provided insights into ongoing developments and future plans for enhancing the operations of the ABS Clea</w:t>
      </w:r>
      <w:r w:rsidR="003251BD">
        <w:rPr>
          <w:rFonts w:ascii="Century Gothic" w:hAnsi="Century Gothic"/>
        </w:rPr>
        <w:t>ring-House.</w:t>
      </w:r>
    </w:p>
    <w:p w14:paraId="580E7916" w14:textId="77777777" w:rsidR="00A7235E" w:rsidRPr="00A7235E" w:rsidRDefault="00A7235E" w:rsidP="00A7235E">
      <w:pPr>
        <w:rPr>
          <w:rFonts w:ascii="Century Gothic" w:hAnsi="Century Gothic"/>
        </w:rPr>
      </w:pPr>
      <w:r w:rsidRPr="00A7235E">
        <w:rPr>
          <w:rFonts w:ascii="Century Gothic" w:hAnsi="Century Gothic"/>
        </w:rPr>
        <w:t>The workshop focused on:</w:t>
      </w:r>
    </w:p>
    <w:p w14:paraId="1A26F532" w14:textId="40ACE445" w:rsidR="00A7235E" w:rsidRPr="00A7235E" w:rsidRDefault="00A7235E" w:rsidP="00A7235E">
      <w:pPr>
        <w:rPr>
          <w:rFonts w:ascii="Century Gothic" w:hAnsi="Century Gothic"/>
        </w:rPr>
      </w:pPr>
      <w:r w:rsidRPr="00A7235E">
        <w:rPr>
          <w:rFonts w:ascii="Century Gothic" w:hAnsi="Century Gothic"/>
        </w:rPr>
        <w:t xml:space="preserve">The ABS Clearing-House has undergone several updates, including enhanced data management tools, streamlined interfaces for easier navigation, and better integration with national ABS frameworks. The workshop emphasized the </w:t>
      </w:r>
      <w:r w:rsidRPr="00A7235E">
        <w:rPr>
          <w:rFonts w:ascii="Century Gothic" w:hAnsi="Century Gothic"/>
        </w:rPr>
        <w:lastRenderedPageBreak/>
        <w:t>need for accurate and up-to-date national data to ensure the platform’s effectiveness.</w:t>
      </w:r>
    </w:p>
    <w:p w14:paraId="63995003" w14:textId="43BE0A73" w:rsidR="00A7235E" w:rsidRPr="00A7235E" w:rsidRDefault="00A7235E" w:rsidP="00A7235E">
      <w:pPr>
        <w:rPr>
          <w:rFonts w:ascii="Century Gothic" w:hAnsi="Century Gothic"/>
        </w:rPr>
      </w:pPr>
      <w:r w:rsidRPr="00A7235E">
        <w:rPr>
          <w:rFonts w:ascii="Century Gothic" w:hAnsi="Century Gothic"/>
        </w:rPr>
        <w:t>New functionalities are being developed to better support the monitoring of genetic resource utilization and the fair sharing of benefits, making the platform a more robust tool for users.</w:t>
      </w:r>
    </w:p>
    <w:p w14:paraId="0B9F5C8F" w14:textId="77777777" w:rsidR="00A7235E" w:rsidRPr="00A7235E" w:rsidRDefault="00A7235E" w:rsidP="00A7235E">
      <w:pPr>
        <w:rPr>
          <w:rFonts w:ascii="Century Gothic" w:hAnsi="Century Gothic"/>
        </w:rPr>
      </w:pPr>
    </w:p>
    <w:p w14:paraId="7BAE88C7" w14:textId="6CD7E410" w:rsidR="00A7235E" w:rsidRPr="003251BD" w:rsidRDefault="003251BD" w:rsidP="00A7235E">
      <w:pPr>
        <w:rPr>
          <w:rFonts w:ascii="Century Gothic" w:hAnsi="Century Gothic"/>
          <w:b/>
        </w:rPr>
      </w:pPr>
      <w:r>
        <w:rPr>
          <w:rFonts w:ascii="Century Gothic" w:hAnsi="Century Gothic"/>
        </w:rPr>
        <w:t xml:space="preserve"> </w:t>
      </w:r>
      <w:r w:rsidR="00A7235E" w:rsidRPr="003251BD">
        <w:rPr>
          <w:rFonts w:ascii="Century Gothic" w:hAnsi="Century Gothic"/>
          <w:b/>
        </w:rPr>
        <w:t>Challenges Faced by National Users:</w:t>
      </w:r>
    </w:p>
    <w:p w14:paraId="3966A0E7" w14:textId="77777777" w:rsidR="003251BD" w:rsidRDefault="00A7235E" w:rsidP="00A7235E">
      <w:pPr>
        <w:rPr>
          <w:rFonts w:ascii="Century Gothic" w:hAnsi="Century Gothic"/>
        </w:rPr>
      </w:pPr>
      <w:r w:rsidRPr="00A7235E">
        <w:rPr>
          <w:rFonts w:ascii="Century Gothic" w:hAnsi="Century Gothic"/>
        </w:rPr>
        <w:t xml:space="preserve">Many countries, especially developing ones, face significant challenges in fully utilizing the ABS Clearing-House, including technical limitations, capacity issues, and lack of awareness </w:t>
      </w:r>
      <w:r w:rsidR="003251BD">
        <w:rPr>
          <w:rFonts w:ascii="Century Gothic" w:hAnsi="Century Gothic"/>
        </w:rPr>
        <w:t>about the platform’s potential.</w:t>
      </w:r>
    </w:p>
    <w:p w14:paraId="40906B3C" w14:textId="3DBFD3E6" w:rsidR="00A7235E" w:rsidRPr="00A7235E" w:rsidRDefault="00A7235E" w:rsidP="00A7235E">
      <w:pPr>
        <w:rPr>
          <w:rFonts w:ascii="Century Gothic" w:hAnsi="Century Gothic"/>
        </w:rPr>
      </w:pPr>
      <w:r w:rsidRPr="00A7235E">
        <w:rPr>
          <w:rFonts w:ascii="Century Gothic" w:hAnsi="Century Gothic"/>
        </w:rPr>
        <w:t>Discussions highlighted the need for more capacity-building initiatives to ensure that national users can effectively manage and share ABS information on the platform.</w:t>
      </w:r>
    </w:p>
    <w:p w14:paraId="7F6EBA3B" w14:textId="77777777" w:rsidR="00A7235E" w:rsidRPr="00A7235E" w:rsidRDefault="00A7235E" w:rsidP="00A7235E">
      <w:pPr>
        <w:rPr>
          <w:rFonts w:ascii="Century Gothic" w:hAnsi="Century Gothic"/>
        </w:rPr>
      </w:pPr>
    </w:p>
    <w:p w14:paraId="55EB56AE" w14:textId="0330EAB0" w:rsidR="00A7235E" w:rsidRPr="003251BD" w:rsidRDefault="00A7235E" w:rsidP="00A7235E">
      <w:pPr>
        <w:rPr>
          <w:rFonts w:ascii="Century Gothic" w:hAnsi="Century Gothic"/>
          <w:b/>
        </w:rPr>
      </w:pPr>
      <w:r w:rsidRPr="003251BD">
        <w:rPr>
          <w:rFonts w:ascii="Century Gothic" w:hAnsi="Century Gothic"/>
          <w:b/>
        </w:rPr>
        <w:t>Experiences and Best Practices:</w:t>
      </w:r>
    </w:p>
    <w:p w14:paraId="406924C2" w14:textId="76AF732F" w:rsidR="00A7235E" w:rsidRPr="00A7235E" w:rsidRDefault="00A7235E" w:rsidP="00A7235E">
      <w:pPr>
        <w:rPr>
          <w:rFonts w:ascii="Century Gothic" w:hAnsi="Century Gothic"/>
        </w:rPr>
      </w:pPr>
      <w:r w:rsidRPr="00A7235E">
        <w:rPr>
          <w:rFonts w:ascii="Century Gothic" w:hAnsi="Century Gothic"/>
        </w:rPr>
        <w:t>Participants shared case studies from various countries on how they have overcome challenges related to data accuracy, system integration, and stakeholder engagement in the context of ABS implementation.</w:t>
      </w:r>
    </w:p>
    <w:p w14:paraId="03A16F1E" w14:textId="77777777" w:rsidR="003251BD" w:rsidRDefault="00A7235E" w:rsidP="00A7235E">
      <w:pPr>
        <w:rPr>
          <w:rFonts w:ascii="Century Gothic" w:hAnsi="Century Gothic"/>
        </w:rPr>
      </w:pPr>
      <w:r w:rsidRPr="00A7235E">
        <w:rPr>
          <w:rFonts w:ascii="Century Gothic" w:hAnsi="Century Gothic"/>
        </w:rPr>
        <w:t>Some countries reported progress in aligning national legal frameworks with the Nagoya Protocol, which helped to improve the quality of data submi</w:t>
      </w:r>
      <w:r w:rsidR="003251BD">
        <w:rPr>
          <w:rFonts w:ascii="Century Gothic" w:hAnsi="Century Gothic"/>
        </w:rPr>
        <w:t>tted to the ABS Clearing-House</w:t>
      </w:r>
    </w:p>
    <w:p w14:paraId="79DC0450" w14:textId="6FE0B1B5" w:rsidR="00A7235E" w:rsidRPr="00A7235E" w:rsidRDefault="00A7235E" w:rsidP="00A7235E">
      <w:pPr>
        <w:rPr>
          <w:rFonts w:ascii="Century Gothic" w:hAnsi="Century Gothic"/>
        </w:rPr>
      </w:pPr>
      <w:r w:rsidRPr="00A7235E">
        <w:rPr>
          <w:rFonts w:ascii="Century Gothic" w:hAnsi="Century Gothic"/>
        </w:rPr>
        <w:t>The importance of fulfilling information-sharing obligations under the Nagoya Protocol was emphasized. Countries must ensure that the information they provide through the ABS Clearing-House is reliable, accurate, and complete. This is crucial for the protocol’s success in promoting transparency and legal certainty in access to genetic resources.</w:t>
      </w:r>
    </w:p>
    <w:p w14:paraId="089E67E7" w14:textId="77777777" w:rsidR="00A7235E" w:rsidRPr="00A7235E" w:rsidRDefault="00A7235E" w:rsidP="00A7235E">
      <w:pPr>
        <w:rPr>
          <w:rFonts w:ascii="Century Gothic" w:hAnsi="Century Gothic"/>
        </w:rPr>
      </w:pPr>
    </w:p>
    <w:p w14:paraId="4D2A0E62" w14:textId="77777777" w:rsidR="00D96175" w:rsidRDefault="00D96175" w:rsidP="00A7235E">
      <w:pPr>
        <w:rPr>
          <w:rFonts w:ascii="Century Gothic" w:hAnsi="Century Gothic"/>
          <w:b/>
        </w:rPr>
      </w:pPr>
    </w:p>
    <w:p w14:paraId="6176B638" w14:textId="77777777" w:rsidR="00D96175" w:rsidRDefault="00D96175" w:rsidP="00A7235E">
      <w:pPr>
        <w:rPr>
          <w:rFonts w:ascii="Century Gothic" w:hAnsi="Century Gothic"/>
          <w:b/>
        </w:rPr>
      </w:pPr>
    </w:p>
    <w:p w14:paraId="22395C69" w14:textId="77777777" w:rsidR="00D96175" w:rsidRDefault="00D96175" w:rsidP="00A7235E">
      <w:pPr>
        <w:rPr>
          <w:rFonts w:ascii="Century Gothic" w:hAnsi="Century Gothic"/>
          <w:b/>
        </w:rPr>
      </w:pPr>
    </w:p>
    <w:p w14:paraId="0D9AE85D" w14:textId="77777777" w:rsidR="00D96175" w:rsidRDefault="00D96175" w:rsidP="00A7235E">
      <w:pPr>
        <w:rPr>
          <w:rFonts w:ascii="Century Gothic" w:hAnsi="Century Gothic"/>
          <w:b/>
        </w:rPr>
      </w:pPr>
    </w:p>
    <w:p w14:paraId="4004BFB1" w14:textId="77777777" w:rsidR="00A7235E" w:rsidRPr="003251BD" w:rsidRDefault="00A7235E" w:rsidP="00C75135">
      <w:pPr>
        <w:pStyle w:val="Heading1"/>
      </w:pPr>
      <w:bookmarkStart w:id="14" w:name="_Toc187242805"/>
      <w:r w:rsidRPr="003251BD">
        <w:t>Outcomes Relevant to Kenya’s Interests</w:t>
      </w:r>
      <w:bookmarkEnd w:id="14"/>
    </w:p>
    <w:p w14:paraId="113ABAAD" w14:textId="77777777" w:rsidR="00A7235E" w:rsidRPr="00A7235E" w:rsidRDefault="00A7235E" w:rsidP="00A7235E">
      <w:pPr>
        <w:rPr>
          <w:rFonts w:ascii="Century Gothic" w:hAnsi="Century Gothic"/>
        </w:rPr>
      </w:pPr>
    </w:p>
    <w:p w14:paraId="15183C5E" w14:textId="6FDC9BFF" w:rsidR="00A7235E" w:rsidRPr="00A7235E" w:rsidRDefault="00A7235E" w:rsidP="00A7235E">
      <w:pPr>
        <w:rPr>
          <w:rFonts w:ascii="Century Gothic" w:hAnsi="Century Gothic"/>
        </w:rPr>
      </w:pPr>
      <w:r w:rsidRPr="00A7235E">
        <w:rPr>
          <w:rFonts w:ascii="Century Gothic" w:hAnsi="Century Gothic"/>
        </w:rPr>
        <w:t xml:space="preserve">Kenya can benefit from the ABS Clearing-House by improving the management and exchange of national ABS information. Given Kenya’s significant biodiversity, ensuring that accurate data is uploaded and updated on the </w:t>
      </w:r>
      <w:r w:rsidR="003251BD">
        <w:rPr>
          <w:rFonts w:ascii="Century Gothic" w:hAnsi="Century Gothic"/>
        </w:rPr>
        <w:t xml:space="preserve">ABS </w:t>
      </w:r>
      <w:r w:rsidRPr="00A7235E">
        <w:rPr>
          <w:rFonts w:ascii="Century Gothic" w:hAnsi="Century Gothic"/>
        </w:rPr>
        <w:t>Clearing-House would help the country meet its obligations under the Nagoya Protocol.</w:t>
      </w:r>
    </w:p>
    <w:p w14:paraId="5DD09A7E" w14:textId="77777777" w:rsidR="00A7235E" w:rsidRPr="00A7235E" w:rsidRDefault="00A7235E" w:rsidP="00A7235E">
      <w:pPr>
        <w:rPr>
          <w:rFonts w:ascii="Century Gothic" w:hAnsi="Century Gothic"/>
        </w:rPr>
      </w:pPr>
    </w:p>
    <w:p w14:paraId="26C3C464" w14:textId="6E761A97" w:rsidR="00A7235E" w:rsidRPr="00A7235E" w:rsidRDefault="003251BD" w:rsidP="00A7235E">
      <w:pPr>
        <w:rPr>
          <w:rFonts w:ascii="Century Gothic" w:hAnsi="Century Gothic"/>
        </w:rPr>
      </w:pPr>
      <w:r>
        <w:rPr>
          <w:rFonts w:ascii="Century Gothic" w:hAnsi="Century Gothic"/>
        </w:rPr>
        <w:t>T</w:t>
      </w:r>
      <w:r w:rsidR="00A7235E" w:rsidRPr="00A7235E">
        <w:rPr>
          <w:rFonts w:ascii="Century Gothic" w:hAnsi="Century Gothic"/>
        </w:rPr>
        <w:t xml:space="preserve">he workshop highlighted the importance of training and capacity-building for national users. Kenya could seek technical and financial support for training local ABS focal points and other relevant stakeholders in effectively using the </w:t>
      </w:r>
      <w:r w:rsidR="00A7235E" w:rsidRPr="00A7235E">
        <w:rPr>
          <w:rFonts w:ascii="Century Gothic" w:hAnsi="Century Gothic"/>
        </w:rPr>
        <w:lastRenderedPageBreak/>
        <w:t>ABS Clearing-House. This would also support Kenya’s biodiversity governance and increase its engagement with international ABS initiatives.</w:t>
      </w:r>
    </w:p>
    <w:p w14:paraId="3F520A64" w14:textId="77777777" w:rsidR="00A7235E" w:rsidRPr="00A7235E" w:rsidRDefault="00A7235E" w:rsidP="00A7235E">
      <w:pPr>
        <w:rPr>
          <w:rFonts w:ascii="Century Gothic" w:hAnsi="Century Gothic"/>
        </w:rPr>
      </w:pPr>
    </w:p>
    <w:p w14:paraId="496584E8" w14:textId="1293BB0B" w:rsidR="00A7235E" w:rsidRPr="00A7235E" w:rsidRDefault="00A7235E" w:rsidP="00A7235E">
      <w:pPr>
        <w:rPr>
          <w:rFonts w:ascii="Century Gothic" w:hAnsi="Century Gothic"/>
        </w:rPr>
      </w:pPr>
      <w:r w:rsidRPr="00A7235E">
        <w:rPr>
          <w:rFonts w:ascii="Century Gothic" w:hAnsi="Century Gothic"/>
        </w:rPr>
        <w:t>By actively engaging with the ABS Clearing-House, Kenya could enhance its role in global ABS discussions and biodiversity conservation efforts. Accurate reporting of ABS data would not only support Kenya's international commitments but also help attract potential benefits from bioprospecting and genetic resource utilization.</w:t>
      </w:r>
    </w:p>
    <w:p w14:paraId="1A0EF70D" w14:textId="2C272852" w:rsidR="00A7235E" w:rsidRPr="00A7235E" w:rsidRDefault="00A7235E" w:rsidP="00A7235E">
      <w:pPr>
        <w:rPr>
          <w:rFonts w:ascii="Century Gothic" w:hAnsi="Century Gothic"/>
        </w:rPr>
      </w:pPr>
      <w:r w:rsidRPr="00A7235E">
        <w:rPr>
          <w:rFonts w:ascii="Century Gothic" w:hAnsi="Century Gothic"/>
        </w:rPr>
        <w:t>The ABS Clearing-House is a critical tool for monitoring the utilization of genetic resources and ensuring that benefits are shared equitably. For Kenya, it is essential to develop strong systems for monitoring the use of its biodiversity and ensuring compliance with the protocols established under the Nagoya framework.</w:t>
      </w:r>
    </w:p>
    <w:p w14:paraId="424E967F" w14:textId="77777777" w:rsidR="00FD5CEB" w:rsidRDefault="00FD5CEB" w:rsidP="00A7235E">
      <w:pPr>
        <w:rPr>
          <w:rFonts w:ascii="Century Gothic" w:hAnsi="Century Gothic"/>
        </w:rPr>
      </w:pPr>
    </w:p>
    <w:p w14:paraId="19DAD23B" w14:textId="05F66416" w:rsidR="00A7235E" w:rsidRDefault="00A7235E">
      <w:pPr>
        <w:rPr>
          <w:rFonts w:ascii="Century Gothic" w:hAnsi="Century Gothic"/>
        </w:rPr>
      </w:pPr>
      <w:r w:rsidRPr="00A7235E">
        <w:rPr>
          <w:rFonts w:ascii="Century Gothic" w:hAnsi="Century Gothic"/>
        </w:rPr>
        <w:t>The workshop underscored the value of international cooperation. Kenya could explore opportunities for partnerships with other countries and international organizati</w:t>
      </w:r>
      <w:r w:rsidR="00FD5CEB">
        <w:rPr>
          <w:rFonts w:ascii="Century Gothic" w:hAnsi="Century Gothic"/>
        </w:rPr>
        <w:t>ons to enhance its ABS systems.</w:t>
      </w:r>
    </w:p>
    <w:p w14:paraId="18A51CD7" w14:textId="3B57BFE8" w:rsidR="007F76EC" w:rsidRDefault="007F76EC">
      <w:pPr>
        <w:rPr>
          <w:rFonts w:ascii="Century Gothic" w:hAnsi="Century Gothic"/>
        </w:rPr>
      </w:pPr>
      <w:r>
        <w:rPr>
          <w:rFonts w:ascii="Century Gothic" w:hAnsi="Century Gothic"/>
        </w:rPr>
        <w:t>Kenya needs to revive its ABS Online permit system developed with support from GIZ</w:t>
      </w:r>
    </w:p>
    <w:p w14:paraId="5BC64507" w14:textId="77777777" w:rsidR="00D96175" w:rsidRDefault="00D96175">
      <w:pPr>
        <w:rPr>
          <w:rFonts w:ascii="Century Gothic" w:hAnsi="Century Gothic"/>
        </w:rPr>
      </w:pPr>
    </w:p>
    <w:p w14:paraId="00431A16" w14:textId="7F55FC4B" w:rsidR="00D96175" w:rsidRDefault="00D96175" w:rsidP="00C75135">
      <w:pPr>
        <w:pStyle w:val="Heading1"/>
      </w:pPr>
      <w:bookmarkStart w:id="15" w:name="_Toc187242806"/>
      <w:r w:rsidRPr="008472F2">
        <w:t>Kenya Honoured at Global conference -COP16 for Outstanding National Clearing-House</w:t>
      </w:r>
      <w:r w:rsidR="00C75135">
        <w:t xml:space="preserve"> </w:t>
      </w:r>
      <w:r w:rsidRPr="008472F2">
        <w:t>Mechanism on Biodiversity</w:t>
      </w:r>
      <w:bookmarkEnd w:id="15"/>
    </w:p>
    <w:p w14:paraId="611A8706" w14:textId="77777777" w:rsidR="008771F4" w:rsidRPr="008771F4" w:rsidRDefault="008771F4" w:rsidP="008771F4"/>
    <w:p w14:paraId="0DB0C4AD" w14:textId="4BB09B6D" w:rsidR="008472F2" w:rsidRDefault="00944605" w:rsidP="00944605">
      <w:pPr>
        <w:jc w:val="center"/>
        <w:rPr>
          <w:rFonts w:ascii="Century Gothic" w:hAnsi="Century Gothic"/>
        </w:rPr>
      </w:pPr>
      <w:r>
        <w:rPr>
          <w:rFonts w:ascii="Century Gothic" w:hAnsi="Century Gothic"/>
          <w:noProof/>
          <w:lang w:val="en-GB" w:eastAsia="en-GB"/>
        </w:rPr>
        <w:drawing>
          <wp:inline distT="0" distB="0" distL="0" distR="0" wp14:anchorId="514770F3" wp14:editId="42027BF8">
            <wp:extent cx="3762375" cy="28217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16B(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6797" cy="2825098"/>
                    </a:xfrm>
                    <a:prstGeom prst="rect">
                      <a:avLst/>
                    </a:prstGeom>
                  </pic:spPr>
                </pic:pic>
              </a:graphicData>
            </a:graphic>
          </wp:inline>
        </w:drawing>
      </w:r>
    </w:p>
    <w:p w14:paraId="51BAE9D0" w14:textId="1CD86188" w:rsidR="008771F4" w:rsidRPr="00944605" w:rsidRDefault="00944605" w:rsidP="00944605">
      <w:pPr>
        <w:jc w:val="center"/>
        <w:rPr>
          <w:rFonts w:ascii="Century Gothic" w:hAnsi="Century Gothic"/>
          <w:b/>
        </w:rPr>
      </w:pPr>
      <w:r w:rsidRPr="00944605">
        <w:rPr>
          <w:rFonts w:ascii="Century Gothic" w:hAnsi="Century Gothic"/>
          <w:b/>
        </w:rPr>
        <w:t>Delegation from Kenya being awarded</w:t>
      </w:r>
    </w:p>
    <w:p w14:paraId="0AA8BB57" w14:textId="77777777" w:rsidR="008771F4" w:rsidRDefault="008771F4" w:rsidP="00D96175">
      <w:pPr>
        <w:rPr>
          <w:rFonts w:ascii="Century Gothic" w:hAnsi="Century Gothic"/>
        </w:rPr>
      </w:pPr>
    </w:p>
    <w:p w14:paraId="78FA4CE8" w14:textId="77777777" w:rsidR="0045669D" w:rsidRDefault="0045669D" w:rsidP="00D96175">
      <w:pPr>
        <w:rPr>
          <w:rFonts w:ascii="Century Gothic" w:hAnsi="Century Gothic"/>
        </w:rPr>
      </w:pPr>
    </w:p>
    <w:p w14:paraId="294C784A" w14:textId="77777777" w:rsidR="00D96175" w:rsidRPr="00D96175" w:rsidRDefault="00D96175" w:rsidP="00D96175">
      <w:pPr>
        <w:rPr>
          <w:rFonts w:ascii="Century Gothic" w:hAnsi="Century Gothic"/>
        </w:rPr>
      </w:pPr>
      <w:r w:rsidRPr="00D96175">
        <w:rPr>
          <w:rFonts w:ascii="Century Gothic" w:hAnsi="Century Gothic"/>
        </w:rPr>
        <w:lastRenderedPageBreak/>
        <w:t>Kenya was awarded a Certificate of Appreciation on October 31, 2024, during COP16 of the</w:t>
      </w:r>
    </w:p>
    <w:p w14:paraId="1CD571DF" w14:textId="2DC2DA7F" w:rsidR="00D96175" w:rsidRPr="00D96175" w:rsidRDefault="00D96175" w:rsidP="00D96175">
      <w:pPr>
        <w:rPr>
          <w:rFonts w:ascii="Century Gothic" w:hAnsi="Century Gothic"/>
        </w:rPr>
      </w:pPr>
      <w:r w:rsidRPr="00D96175">
        <w:rPr>
          <w:rFonts w:ascii="Century Gothic" w:hAnsi="Century Gothic"/>
        </w:rPr>
        <w:t>Convention on Biological Diversity in Cali, Colombia. Presented by CBD Executive Secretary Ms.Astrid Shomaker, the award celebrates Kenya</w:t>
      </w:r>
      <w:r w:rsidR="0045669D">
        <w:rPr>
          <w:rFonts w:ascii="Century Gothic" w:hAnsi="Century Gothic"/>
        </w:rPr>
        <w:t>s</w:t>
      </w:r>
      <w:r w:rsidRPr="00D96175">
        <w:rPr>
          <w:rFonts w:ascii="Century Gothic" w:hAnsi="Century Gothic"/>
        </w:rPr>
        <w:t xml:space="preserve"> well-organized National Clearing-House Mechanism</w:t>
      </w:r>
      <w:r w:rsidR="008472F2">
        <w:rPr>
          <w:rFonts w:ascii="Century Gothic" w:hAnsi="Century Gothic"/>
        </w:rPr>
        <w:t xml:space="preserve"> </w:t>
      </w:r>
      <w:r w:rsidRPr="00D96175">
        <w:rPr>
          <w:rFonts w:ascii="Century Gothic" w:hAnsi="Century Gothic"/>
        </w:rPr>
        <w:t>(CHM) an online platform for managing and sharing biodiversity data, supporting the</w:t>
      </w:r>
      <w:r w:rsidR="0045669D">
        <w:rPr>
          <w:rFonts w:ascii="Century Gothic" w:hAnsi="Century Gothic"/>
        </w:rPr>
        <w:t xml:space="preserve"> </w:t>
      </w:r>
      <w:r w:rsidRPr="00D96175">
        <w:rPr>
          <w:rFonts w:ascii="Century Gothic" w:hAnsi="Century Gothic"/>
        </w:rPr>
        <w:t>implementation Kunming</w:t>
      </w:r>
      <w:r w:rsidR="008472F2">
        <w:rPr>
          <w:rFonts w:ascii="Century Gothic" w:hAnsi="Century Gothic"/>
        </w:rPr>
        <w:t xml:space="preserve"> </w:t>
      </w:r>
      <w:r w:rsidRPr="00D96175">
        <w:rPr>
          <w:rFonts w:ascii="Century Gothic" w:hAnsi="Century Gothic"/>
        </w:rPr>
        <w:t>-Montreal Global Biodiversity Framework .This recognition highlights</w:t>
      </w:r>
      <w:r w:rsidR="008472F2">
        <w:rPr>
          <w:rFonts w:ascii="Century Gothic" w:hAnsi="Century Gothic"/>
        </w:rPr>
        <w:t xml:space="preserve"> </w:t>
      </w:r>
      <w:r w:rsidRPr="00D96175">
        <w:rPr>
          <w:rFonts w:ascii="Century Gothic" w:hAnsi="Century Gothic"/>
        </w:rPr>
        <w:t>Kenya’s leadership in biodiversity knowledge management and conservation, underscoring its</w:t>
      </w:r>
      <w:r w:rsidR="008472F2">
        <w:rPr>
          <w:rFonts w:ascii="Century Gothic" w:hAnsi="Century Gothic"/>
        </w:rPr>
        <w:t xml:space="preserve"> </w:t>
      </w:r>
      <w:r w:rsidRPr="00D96175">
        <w:rPr>
          <w:rFonts w:ascii="Century Gothic" w:hAnsi="Century Gothic"/>
        </w:rPr>
        <w:t>commitment to the implementation of Global Biodiversity Framework.</w:t>
      </w:r>
    </w:p>
    <w:p w14:paraId="27450F68" w14:textId="77777777" w:rsidR="0045669D" w:rsidRDefault="0045669D" w:rsidP="00D96175">
      <w:pPr>
        <w:rPr>
          <w:rFonts w:ascii="Century Gothic" w:hAnsi="Century Gothic"/>
        </w:rPr>
      </w:pPr>
    </w:p>
    <w:p w14:paraId="6D490D0D" w14:textId="34AE4A7A" w:rsidR="00D96175" w:rsidRPr="00D96175" w:rsidRDefault="00D96175" w:rsidP="00D96175">
      <w:pPr>
        <w:rPr>
          <w:rFonts w:ascii="Century Gothic" w:hAnsi="Century Gothic"/>
        </w:rPr>
      </w:pPr>
      <w:r w:rsidRPr="00D96175">
        <w:rPr>
          <w:rFonts w:ascii="Century Gothic" w:hAnsi="Century Gothic"/>
        </w:rPr>
        <w:t>Since earning the Bronze Award for its New National CHM in 2016 at COP13 in Mexico, Kenya has</w:t>
      </w:r>
      <w:r w:rsidR="008472F2">
        <w:rPr>
          <w:rFonts w:ascii="Century Gothic" w:hAnsi="Century Gothic"/>
        </w:rPr>
        <w:t xml:space="preserve"> </w:t>
      </w:r>
      <w:r w:rsidRPr="00D96175">
        <w:rPr>
          <w:rFonts w:ascii="Century Gothic" w:hAnsi="Century Gothic"/>
        </w:rPr>
        <w:t>significantly advanced its CHM capabilities. Integrated with the nation’s Biodiversity Strategy and</w:t>
      </w:r>
      <w:r w:rsidR="008472F2">
        <w:rPr>
          <w:rFonts w:ascii="Century Gothic" w:hAnsi="Century Gothic"/>
        </w:rPr>
        <w:t xml:space="preserve"> </w:t>
      </w:r>
      <w:r w:rsidRPr="00D96175">
        <w:rPr>
          <w:rFonts w:ascii="Century Gothic" w:hAnsi="Century Gothic"/>
        </w:rPr>
        <w:t>Action Plan, Kenya’s CHM focuses on strengthening biodiversity information collection, monitoring,</w:t>
      </w:r>
      <w:r w:rsidR="008472F2">
        <w:rPr>
          <w:rFonts w:ascii="Century Gothic" w:hAnsi="Century Gothic"/>
        </w:rPr>
        <w:t xml:space="preserve"> </w:t>
      </w:r>
      <w:r w:rsidRPr="00D96175">
        <w:rPr>
          <w:rFonts w:ascii="Century Gothic" w:hAnsi="Century Gothic"/>
        </w:rPr>
        <w:t>and accessibility.</w:t>
      </w:r>
      <w:r w:rsidR="008472F2">
        <w:rPr>
          <w:rFonts w:ascii="Century Gothic" w:hAnsi="Century Gothic"/>
        </w:rPr>
        <w:t xml:space="preserve"> </w:t>
      </w:r>
      <w:r w:rsidRPr="00D96175">
        <w:rPr>
          <w:rFonts w:ascii="Century Gothic" w:hAnsi="Century Gothic"/>
        </w:rPr>
        <w:t>The CHM current platform, Bioland 1.0, offers extensive data on biodiversity, and Kenya looks</w:t>
      </w:r>
      <w:r w:rsidR="008472F2">
        <w:rPr>
          <w:rFonts w:ascii="Century Gothic" w:hAnsi="Century Gothic"/>
        </w:rPr>
        <w:t xml:space="preserve"> </w:t>
      </w:r>
      <w:r w:rsidRPr="00D96175">
        <w:rPr>
          <w:rFonts w:ascii="Century Gothic" w:hAnsi="Century Gothic"/>
        </w:rPr>
        <w:t>forward to upgrading to Bioland 2.0 to improve interoperability and user experience. Kenya also</w:t>
      </w:r>
      <w:r w:rsidR="008472F2">
        <w:rPr>
          <w:rFonts w:ascii="Century Gothic" w:hAnsi="Century Gothic"/>
        </w:rPr>
        <w:t xml:space="preserve"> </w:t>
      </w:r>
      <w:r w:rsidRPr="00D96175">
        <w:rPr>
          <w:rFonts w:ascii="Century Gothic" w:hAnsi="Century Gothic"/>
        </w:rPr>
        <w:t>supports UNEP’s global project proposal to strengthen CHMs across nations, seeing it as vital to</w:t>
      </w:r>
      <w:r w:rsidR="008472F2">
        <w:rPr>
          <w:rFonts w:ascii="Century Gothic" w:hAnsi="Century Gothic"/>
        </w:rPr>
        <w:t xml:space="preserve"> </w:t>
      </w:r>
      <w:r w:rsidRPr="00D96175">
        <w:rPr>
          <w:rFonts w:ascii="Century Gothic" w:hAnsi="Century Gothic"/>
        </w:rPr>
        <w:t>bridging gaps in technical and scientific capacity ensuring that data sharing and knowledge</w:t>
      </w:r>
      <w:r w:rsidR="008472F2">
        <w:rPr>
          <w:rFonts w:ascii="Century Gothic" w:hAnsi="Century Gothic"/>
        </w:rPr>
        <w:t xml:space="preserve"> </w:t>
      </w:r>
      <w:r w:rsidRPr="00D96175">
        <w:rPr>
          <w:rFonts w:ascii="Century Gothic" w:hAnsi="Century Gothic"/>
        </w:rPr>
        <w:t>management truly become pillars of our shared global biodiversity objectives.</w:t>
      </w:r>
    </w:p>
    <w:p w14:paraId="60531760" w14:textId="66B876E0" w:rsidR="00D96175" w:rsidRDefault="00D96175" w:rsidP="00D96175">
      <w:pPr>
        <w:rPr>
          <w:rFonts w:ascii="Century Gothic" w:hAnsi="Century Gothic"/>
        </w:rPr>
      </w:pPr>
      <w:r w:rsidRPr="00D96175">
        <w:rPr>
          <w:rFonts w:ascii="Century Gothic" w:hAnsi="Century Gothic"/>
        </w:rPr>
        <w:t>In Kenya, the National Environment Management Authority (NEMA) serves as the National Focal</w:t>
      </w:r>
      <w:r w:rsidR="008472F2">
        <w:rPr>
          <w:rFonts w:ascii="Century Gothic" w:hAnsi="Century Gothic"/>
        </w:rPr>
        <w:t xml:space="preserve"> </w:t>
      </w:r>
      <w:r w:rsidRPr="00D96175">
        <w:rPr>
          <w:rFonts w:ascii="Century Gothic" w:hAnsi="Century Gothic"/>
        </w:rPr>
        <w:t>Point for the Clearing-House Mechanism (CHM). NEMA is responsible for maintaining the platform,</w:t>
      </w:r>
      <w:r w:rsidR="008472F2">
        <w:rPr>
          <w:rFonts w:ascii="Century Gothic" w:hAnsi="Century Gothic"/>
        </w:rPr>
        <w:t xml:space="preserve"> </w:t>
      </w:r>
      <w:r w:rsidRPr="00D96175">
        <w:rPr>
          <w:rFonts w:ascii="Century Gothic" w:hAnsi="Century Gothic"/>
        </w:rPr>
        <w:t>updating essential biodiversity data, and promoting national awareness, ensuring the CHM remains</w:t>
      </w:r>
      <w:r w:rsidR="008472F2">
        <w:rPr>
          <w:rFonts w:ascii="Century Gothic" w:hAnsi="Century Gothic"/>
        </w:rPr>
        <w:t xml:space="preserve"> </w:t>
      </w:r>
      <w:r w:rsidRPr="00D96175">
        <w:rPr>
          <w:rFonts w:ascii="Century Gothic" w:hAnsi="Century Gothic"/>
        </w:rPr>
        <w:t>a robust resource for conservation and informed policy decisions.</w:t>
      </w:r>
    </w:p>
    <w:p w14:paraId="2846A7C0" w14:textId="084FD827" w:rsidR="00944605" w:rsidRDefault="00944605" w:rsidP="00944605">
      <w:pPr>
        <w:jc w:val="center"/>
        <w:rPr>
          <w:rFonts w:ascii="Century Gothic" w:hAnsi="Century Gothic"/>
        </w:rPr>
      </w:pPr>
      <w:r>
        <w:rPr>
          <w:rFonts w:ascii="Century Gothic" w:hAnsi="Century Gothic"/>
          <w:noProof/>
          <w:lang w:val="en-GB" w:eastAsia="en-GB"/>
        </w:rPr>
        <w:drawing>
          <wp:inline distT="0" distB="0" distL="0" distR="0" wp14:anchorId="7A24037E" wp14:editId="03495369">
            <wp:extent cx="2943225" cy="222817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41031-WA00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9604" cy="2233001"/>
                    </a:xfrm>
                    <a:prstGeom prst="rect">
                      <a:avLst/>
                    </a:prstGeom>
                  </pic:spPr>
                </pic:pic>
              </a:graphicData>
            </a:graphic>
          </wp:inline>
        </w:drawing>
      </w:r>
    </w:p>
    <w:p w14:paraId="5D34544A" w14:textId="77777777" w:rsidR="00D96175" w:rsidRDefault="00D96175">
      <w:pPr>
        <w:rPr>
          <w:rFonts w:ascii="Century Gothic" w:hAnsi="Century Gothic"/>
          <w:b/>
        </w:rPr>
      </w:pPr>
    </w:p>
    <w:p w14:paraId="0AD0DE74" w14:textId="20BCCF38" w:rsidR="00D96175" w:rsidRDefault="00D96175">
      <w:pPr>
        <w:rPr>
          <w:rFonts w:ascii="Century Gothic" w:hAnsi="Century Gothic"/>
          <w:b/>
        </w:rPr>
      </w:pPr>
      <w:r>
        <w:rPr>
          <w:rFonts w:ascii="Century Gothic" w:hAnsi="Century Gothic"/>
          <w:b/>
        </w:rPr>
        <w:t>Conclusion and challenges faced in m</w:t>
      </w:r>
      <w:r w:rsidR="00C75135">
        <w:rPr>
          <w:rFonts w:ascii="Century Gothic" w:hAnsi="Century Gothic"/>
          <w:b/>
        </w:rPr>
        <w:t>y</w:t>
      </w:r>
      <w:r>
        <w:rPr>
          <w:rFonts w:ascii="Century Gothic" w:hAnsi="Century Gothic"/>
          <w:b/>
        </w:rPr>
        <w:t xml:space="preserve"> participation</w:t>
      </w:r>
    </w:p>
    <w:p w14:paraId="242A5126" w14:textId="77777777" w:rsidR="00F97441" w:rsidRDefault="00F97441">
      <w:pPr>
        <w:rPr>
          <w:rFonts w:ascii="Century Gothic" w:hAnsi="Century Gothic"/>
          <w:b/>
        </w:rPr>
      </w:pPr>
    </w:p>
    <w:p w14:paraId="29EA46D3" w14:textId="77777777" w:rsidR="00F97441" w:rsidRPr="00F97441" w:rsidRDefault="00F97441" w:rsidP="00F97441">
      <w:pPr>
        <w:rPr>
          <w:rFonts w:ascii="Century Gothic" w:hAnsi="Century Gothic"/>
          <w:b/>
          <w:bCs/>
          <w:lang w:val="en-GB"/>
        </w:rPr>
      </w:pPr>
      <w:r w:rsidRPr="00F97441">
        <w:rPr>
          <w:rFonts w:ascii="Century Gothic" w:hAnsi="Century Gothic"/>
          <w:b/>
          <w:bCs/>
          <w:lang w:val="en-GB"/>
        </w:rPr>
        <w:t>Conclusion</w:t>
      </w:r>
    </w:p>
    <w:p w14:paraId="1BABE4C5" w14:textId="77777777" w:rsidR="00F97441" w:rsidRPr="00F97441" w:rsidRDefault="00F97441" w:rsidP="00F97441">
      <w:pPr>
        <w:jc w:val="both"/>
        <w:rPr>
          <w:rFonts w:ascii="Century Gothic" w:hAnsi="Century Gothic"/>
          <w:lang w:val="en-GB"/>
        </w:rPr>
      </w:pPr>
      <w:r w:rsidRPr="00F97441">
        <w:rPr>
          <w:rFonts w:ascii="Century Gothic" w:hAnsi="Century Gothic"/>
          <w:lang w:val="en-GB"/>
        </w:rPr>
        <w:t xml:space="preserve">Participation in COP16 was a valuable opportunity to engage with global stakeholders, exchange knowledge, and contribute to critical discussions on </w:t>
      </w:r>
      <w:r w:rsidRPr="00F97441">
        <w:rPr>
          <w:rFonts w:ascii="Century Gothic" w:hAnsi="Century Gothic"/>
          <w:lang w:val="en-GB"/>
        </w:rPr>
        <w:lastRenderedPageBreak/>
        <w:t>biodiversity conservation and sustainable use. The sessions and side events I attended enhanced my understanding of mechanisms for planning, monitoring, and reporting under the Kunming-Montreal Global Biodiversity Framework (GBF). Additionally, the capacity-building workshops on the Clearing-House Mechanism (CHM) and Access and Benefit-Sharing (ABS) mechanisms provided practical insights that will significantly inform Kenya's efforts in implementing its national biodiversity targets.</w:t>
      </w:r>
    </w:p>
    <w:p w14:paraId="2C74246C" w14:textId="77777777" w:rsidR="00F97441" w:rsidRPr="00F97441" w:rsidRDefault="00F97441" w:rsidP="00F97441">
      <w:pPr>
        <w:jc w:val="both"/>
        <w:rPr>
          <w:rFonts w:ascii="Century Gothic" w:hAnsi="Century Gothic"/>
          <w:lang w:val="en-GB"/>
        </w:rPr>
      </w:pPr>
      <w:r w:rsidRPr="00F97441">
        <w:rPr>
          <w:rFonts w:ascii="Century Gothic" w:hAnsi="Century Gothic"/>
          <w:lang w:val="en-GB"/>
        </w:rPr>
        <w:t>The side events, such as the National CHM and Bioland 2.0 presentation, showcased innovative tools and approaches that Kenya can leverage to enhance its CHM functions. These experiences reinforced the importance of collaboration and the role of digital platforms in advancing knowledge management and transparency.</w:t>
      </w:r>
    </w:p>
    <w:p w14:paraId="7EA60851" w14:textId="77777777" w:rsidR="00F97441" w:rsidRPr="00F97441" w:rsidRDefault="00F97441" w:rsidP="00F97441">
      <w:pPr>
        <w:jc w:val="both"/>
        <w:rPr>
          <w:rFonts w:ascii="Century Gothic" w:hAnsi="Century Gothic"/>
          <w:lang w:val="en-GB"/>
        </w:rPr>
      </w:pPr>
      <w:r w:rsidRPr="00F97441">
        <w:rPr>
          <w:rFonts w:ascii="Century Gothic" w:hAnsi="Century Gothic"/>
          <w:lang w:val="en-GB"/>
        </w:rPr>
        <w:t>Overall, my participation underscored the critical importance of mainstreaming biodiversity across sectors and valuing biodiversity's diverse contributions, aligning with Kenya’s efforts to achieve its biodiversity and sustainable development goals.</w:t>
      </w:r>
    </w:p>
    <w:p w14:paraId="3A18B668" w14:textId="77777777" w:rsidR="008771F4" w:rsidRDefault="008771F4" w:rsidP="00F97441">
      <w:pPr>
        <w:jc w:val="both"/>
        <w:rPr>
          <w:rFonts w:ascii="Century Gothic" w:hAnsi="Century Gothic"/>
          <w:b/>
          <w:bCs/>
          <w:lang w:val="en-GB"/>
        </w:rPr>
      </w:pPr>
    </w:p>
    <w:p w14:paraId="4299F766" w14:textId="77777777" w:rsidR="00F97441" w:rsidRPr="00F97441" w:rsidRDefault="00F97441" w:rsidP="00F97441">
      <w:pPr>
        <w:jc w:val="both"/>
        <w:rPr>
          <w:rFonts w:ascii="Century Gothic" w:hAnsi="Century Gothic"/>
          <w:b/>
          <w:bCs/>
          <w:lang w:val="en-GB"/>
        </w:rPr>
      </w:pPr>
      <w:r w:rsidRPr="00F97441">
        <w:rPr>
          <w:rFonts w:ascii="Century Gothic" w:hAnsi="Century Gothic"/>
          <w:b/>
          <w:bCs/>
          <w:lang w:val="en-GB"/>
        </w:rPr>
        <w:t>Challenges Faced</w:t>
      </w:r>
    </w:p>
    <w:p w14:paraId="27B4D428" w14:textId="77777777" w:rsidR="00F97441" w:rsidRPr="00F97441" w:rsidRDefault="00F97441" w:rsidP="00F97441">
      <w:pPr>
        <w:numPr>
          <w:ilvl w:val="0"/>
          <w:numId w:val="43"/>
        </w:numPr>
        <w:jc w:val="both"/>
        <w:rPr>
          <w:rFonts w:ascii="Century Gothic" w:hAnsi="Century Gothic"/>
          <w:lang w:val="en-GB"/>
        </w:rPr>
      </w:pPr>
      <w:r w:rsidRPr="008771F4">
        <w:rPr>
          <w:rFonts w:ascii="Century Gothic" w:hAnsi="Century Gothic"/>
          <w:b/>
          <w:bCs/>
          <w:lang w:val="en-GB"/>
        </w:rPr>
        <w:t>Time Constraints</w:t>
      </w:r>
      <w:r w:rsidRPr="008771F4">
        <w:rPr>
          <w:rFonts w:ascii="Century Gothic" w:hAnsi="Century Gothic"/>
          <w:b/>
          <w:lang w:val="en-GB"/>
        </w:rPr>
        <w:t>:</w:t>
      </w:r>
      <w:r w:rsidRPr="00F97441">
        <w:rPr>
          <w:rFonts w:ascii="Century Gothic" w:hAnsi="Century Gothic"/>
          <w:lang w:val="en-GB"/>
        </w:rPr>
        <w:t xml:space="preserve"> The packed schedule of sessions and side events made it challenging to attend all discussions relevant to Kenya’s biodiversity priorities. Some overlapping sessions required careful prioritization, resulting in missed opportunities to participate in potentially beneficial discussions.</w:t>
      </w:r>
    </w:p>
    <w:p w14:paraId="5F3BBCAD" w14:textId="77777777" w:rsidR="00F97441" w:rsidRPr="00F97441" w:rsidRDefault="00F97441" w:rsidP="00F97441">
      <w:pPr>
        <w:numPr>
          <w:ilvl w:val="0"/>
          <w:numId w:val="43"/>
        </w:numPr>
        <w:jc w:val="both"/>
        <w:rPr>
          <w:rFonts w:ascii="Century Gothic" w:hAnsi="Century Gothic"/>
          <w:lang w:val="en-GB"/>
        </w:rPr>
      </w:pPr>
      <w:r w:rsidRPr="008771F4">
        <w:rPr>
          <w:rFonts w:ascii="Century Gothic" w:hAnsi="Century Gothic"/>
          <w:b/>
          <w:bCs/>
          <w:lang w:val="en-GB"/>
        </w:rPr>
        <w:t>Technical Complexity</w:t>
      </w:r>
      <w:r w:rsidRPr="008771F4">
        <w:rPr>
          <w:rFonts w:ascii="Century Gothic" w:hAnsi="Century Gothic"/>
          <w:b/>
          <w:lang w:val="en-GB"/>
        </w:rPr>
        <w:t>:</w:t>
      </w:r>
      <w:r w:rsidRPr="00F97441">
        <w:rPr>
          <w:rFonts w:ascii="Century Gothic" w:hAnsi="Century Gothic"/>
          <w:lang w:val="en-GB"/>
        </w:rPr>
        <w:t xml:space="preserve"> Certain sessions, particularly on Bioland 2.0 and ABS Clearing-House, required advanced technical knowledge, which necessitates further follow-up and capacity building to fully utilize these tools in Kenya’s context.</w:t>
      </w:r>
    </w:p>
    <w:p w14:paraId="11C210E4" w14:textId="77777777" w:rsidR="00F97441" w:rsidRPr="00F97441" w:rsidRDefault="00F97441" w:rsidP="00F97441">
      <w:pPr>
        <w:numPr>
          <w:ilvl w:val="0"/>
          <w:numId w:val="43"/>
        </w:numPr>
        <w:jc w:val="both"/>
        <w:rPr>
          <w:rFonts w:ascii="Century Gothic" w:hAnsi="Century Gothic"/>
          <w:lang w:val="en-GB"/>
        </w:rPr>
      </w:pPr>
      <w:r w:rsidRPr="00F97441">
        <w:rPr>
          <w:rFonts w:ascii="Century Gothic" w:hAnsi="Century Gothic"/>
          <w:b/>
          <w:bCs/>
          <w:lang w:val="en-GB"/>
        </w:rPr>
        <w:t>Networking Barriers</w:t>
      </w:r>
      <w:r w:rsidRPr="00F97441">
        <w:rPr>
          <w:rFonts w:ascii="Century Gothic" w:hAnsi="Century Gothic"/>
          <w:b/>
          <w:lang w:val="en-GB"/>
        </w:rPr>
        <w:t>:</w:t>
      </w:r>
      <w:r w:rsidRPr="00F97441">
        <w:rPr>
          <w:rFonts w:ascii="Century Gothic" w:hAnsi="Century Gothic"/>
          <w:lang w:val="en-GB"/>
        </w:rPr>
        <w:t xml:space="preserve"> Engaging with a diverse range of stakeholders was sometimes hindered by time limitations, reducing opportunities for in-depth discussions and collaboration-building.</w:t>
      </w:r>
    </w:p>
    <w:p w14:paraId="5D0EBEB6" w14:textId="66A273E4" w:rsidR="00F97441" w:rsidRDefault="00F97441" w:rsidP="00F97441">
      <w:pPr>
        <w:numPr>
          <w:ilvl w:val="0"/>
          <w:numId w:val="43"/>
        </w:numPr>
        <w:jc w:val="both"/>
        <w:rPr>
          <w:rFonts w:ascii="Century Gothic" w:hAnsi="Century Gothic"/>
          <w:lang w:val="en-GB"/>
        </w:rPr>
      </w:pPr>
      <w:r w:rsidRPr="00F97441">
        <w:rPr>
          <w:rFonts w:ascii="Century Gothic" w:hAnsi="Century Gothic"/>
          <w:b/>
          <w:bCs/>
          <w:lang w:val="en-GB"/>
        </w:rPr>
        <w:t>Limited Resources for Follow-Up by NEMA:</w:t>
      </w:r>
      <w:r w:rsidRPr="00F97441">
        <w:rPr>
          <w:rFonts w:ascii="Century Gothic" w:hAnsi="Century Gothic"/>
          <w:lang w:val="en-GB"/>
        </w:rPr>
        <w:t xml:space="preserve"> Translating the lessons learned and tools introduced during COP16 into actionable outcomes at the national level may face resource and capacity challenges that require additional support and stakeholder engagement.</w:t>
      </w:r>
    </w:p>
    <w:p w14:paraId="056BCAFB" w14:textId="3BBAB852" w:rsidR="00F97441" w:rsidRPr="00F97441" w:rsidRDefault="00F97441" w:rsidP="009111AA">
      <w:pPr>
        <w:numPr>
          <w:ilvl w:val="0"/>
          <w:numId w:val="43"/>
        </w:numPr>
        <w:jc w:val="both"/>
        <w:rPr>
          <w:rFonts w:ascii="Century Gothic" w:hAnsi="Century Gothic"/>
          <w:lang w:val="en-GB"/>
        </w:rPr>
      </w:pPr>
      <w:r w:rsidRPr="00F97441">
        <w:rPr>
          <w:rFonts w:ascii="Century Gothic" w:hAnsi="Century Gothic"/>
          <w:b/>
          <w:lang w:val="en-GB"/>
        </w:rPr>
        <w:t>Inadequate Financial Support</w:t>
      </w:r>
      <w:r w:rsidRPr="00F97441">
        <w:rPr>
          <w:rFonts w:ascii="Century Gothic" w:hAnsi="Century Gothic"/>
          <w:lang w:val="en-GB"/>
        </w:rPr>
        <w:t>: While the support provided by the Royal Belgian Institute of Natural Sciences (RBINS) was greatly appreciated, the daily subsistence allowance (DSA) was relatively low, making it difficult to meet essential needs during the conference. This highlighted the need for additional support from NEMA to ensure its representatives can participate effectively and comfortably in such critical international engagements. Enhanced financial backing would not only facilitate smoother participation but also reinforce Kenya’s presence and contributions on the global stage.</w:t>
      </w:r>
    </w:p>
    <w:p w14:paraId="0677ED42" w14:textId="77777777" w:rsidR="00F97441" w:rsidRPr="00F97441" w:rsidRDefault="00F97441" w:rsidP="00F97441">
      <w:pPr>
        <w:jc w:val="both"/>
        <w:rPr>
          <w:rFonts w:ascii="Century Gothic" w:hAnsi="Century Gothic"/>
        </w:rPr>
      </w:pPr>
    </w:p>
    <w:sectPr w:rsidR="00F97441" w:rsidRPr="00F97441" w:rsidSect="00C75135">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598D9" w14:textId="77777777" w:rsidR="00D50C4A" w:rsidRDefault="00D50C4A" w:rsidP="001730C6">
      <w:r>
        <w:separator/>
      </w:r>
    </w:p>
  </w:endnote>
  <w:endnote w:type="continuationSeparator" w:id="0">
    <w:p w14:paraId="60DEDB03" w14:textId="77777777" w:rsidR="00D50C4A" w:rsidRDefault="00D50C4A" w:rsidP="00173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693438"/>
      <w:docPartObj>
        <w:docPartGallery w:val="Page Numbers (Bottom of Page)"/>
        <w:docPartUnique/>
      </w:docPartObj>
    </w:sdtPr>
    <w:sdtEndPr>
      <w:rPr>
        <w:noProof/>
      </w:rPr>
    </w:sdtEndPr>
    <w:sdtContent>
      <w:p w14:paraId="0656DD85" w14:textId="4A205840" w:rsidR="00F93888" w:rsidRDefault="00F93888">
        <w:pPr>
          <w:pStyle w:val="Footer"/>
          <w:jc w:val="center"/>
        </w:pPr>
        <w:r>
          <w:fldChar w:fldCharType="begin"/>
        </w:r>
        <w:r>
          <w:instrText xml:space="preserve"> PAGE   \* MERGEFORMAT </w:instrText>
        </w:r>
        <w:r>
          <w:fldChar w:fldCharType="separate"/>
        </w:r>
        <w:r w:rsidR="00D355D1">
          <w:rPr>
            <w:noProof/>
          </w:rPr>
          <w:t>1</w:t>
        </w:r>
        <w:r>
          <w:rPr>
            <w:noProof/>
          </w:rPr>
          <w:fldChar w:fldCharType="end"/>
        </w:r>
      </w:p>
    </w:sdtContent>
  </w:sdt>
  <w:p w14:paraId="2D9581AF" w14:textId="77777777" w:rsidR="00F93888" w:rsidRDefault="00F938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4916B" w14:textId="77777777" w:rsidR="00D50C4A" w:rsidRDefault="00D50C4A" w:rsidP="001730C6">
      <w:r>
        <w:separator/>
      </w:r>
    </w:p>
  </w:footnote>
  <w:footnote w:type="continuationSeparator" w:id="0">
    <w:p w14:paraId="05D45EA7" w14:textId="77777777" w:rsidR="00D50C4A" w:rsidRDefault="00D50C4A" w:rsidP="001730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167A"/>
    <w:multiLevelType w:val="hybridMultilevel"/>
    <w:tmpl w:val="8DBE243E"/>
    <w:lvl w:ilvl="0" w:tplc="DD78F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84BAA"/>
    <w:multiLevelType w:val="multilevel"/>
    <w:tmpl w:val="F31CF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D25E0"/>
    <w:multiLevelType w:val="hybridMultilevel"/>
    <w:tmpl w:val="AEB288C4"/>
    <w:lvl w:ilvl="0" w:tplc="8466C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652E9"/>
    <w:multiLevelType w:val="hybridMultilevel"/>
    <w:tmpl w:val="1B56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B01AB"/>
    <w:multiLevelType w:val="hybridMultilevel"/>
    <w:tmpl w:val="2B70EC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B50D2"/>
    <w:multiLevelType w:val="hybridMultilevel"/>
    <w:tmpl w:val="11BEF4B6"/>
    <w:lvl w:ilvl="0" w:tplc="CC6E1E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472AF9"/>
    <w:multiLevelType w:val="hybridMultilevel"/>
    <w:tmpl w:val="A14C6B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2D77511"/>
    <w:multiLevelType w:val="hybridMultilevel"/>
    <w:tmpl w:val="871A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304E5"/>
    <w:multiLevelType w:val="hybridMultilevel"/>
    <w:tmpl w:val="0DCEDD2C"/>
    <w:lvl w:ilvl="0" w:tplc="1BF04E0A">
      <w:numFmt w:val="bullet"/>
      <w:lvlText w:val=""/>
      <w:lvlJc w:val="left"/>
      <w:pPr>
        <w:ind w:left="1805" w:hanging="360"/>
      </w:pPr>
      <w:rPr>
        <w:rFonts w:ascii="Wingdings" w:eastAsiaTheme="minorHAnsi" w:hAnsi="Wingdings" w:cstheme="minorBidi"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9" w15:restartNumberingAfterBreak="0">
    <w:nsid w:val="173D4076"/>
    <w:multiLevelType w:val="hybridMultilevel"/>
    <w:tmpl w:val="8474D638"/>
    <w:lvl w:ilvl="0" w:tplc="068A3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2B1D33"/>
    <w:multiLevelType w:val="hybridMultilevel"/>
    <w:tmpl w:val="CAA831C2"/>
    <w:lvl w:ilvl="0" w:tplc="1BF04E0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D0627"/>
    <w:multiLevelType w:val="hybridMultilevel"/>
    <w:tmpl w:val="90E4ED90"/>
    <w:lvl w:ilvl="0" w:tplc="6582A6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CA47A9"/>
    <w:multiLevelType w:val="hybridMultilevel"/>
    <w:tmpl w:val="A654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4403FC"/>
    <w:multiLevelType w:val="hybridMultilevel"/>
    <w:tmpl w:val="8FEA9CE2"/>
    <w:lvl w:ilvl="0" w:tplc="1BF04E0A">
      <w:numFmt w:val="bullet"/>
      <w:lvlText w:val=""/>
      <w:lvlJc w:val="left"/>
      <w:pPr>
        <w:ind w:left="1724" w:hanging="360"/>
      </w:pPr>
      <w:rPr>
        <w:rFonts w:ascii="Wingdings" w:eastAsiaTheme="minorHAnsi" w:hAnsi="Wingdings" w:cstheme="minorBidi"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4" w15:restartNumberingAfterBreak="0">
    <w:nsid w:val="23D601F9"/>
    <w:multiLevelType w:val="hybridMultilevel"/>
    <w:tmpl w:val="75D27680"/>
    <w:lvl w:ilvl="0" w:tplc="1116E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5A3E0B"/>
    <w:multiLevelType w:val="hybridMultilevel"/>
    <w:tmpl w:val="570A9BD2"/>
    <w:lvl w:ilvl="0" w:tplc="1BF04E0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A73B3"/>
    <w:multiLevelType w:val="hybridMultilevel"/>
    <w:tmpl w:val="F1306916"/>
    <w:lvl w:ilvl="0" w:tplc="FFFFFFFF">
      <w:start w:val="1"/>
      <w:numFmt w:val="decimal"/>
      <w:lvlText w:val="%1."/>
      <w:lvlJc w:val="left"/>
      <w:pPr>
        <w:ind w:left="720" w:hanging="360"/>
      </w:pPr>
      <w:rPr>
        <w:rFonts w:ascii="Times New Roman" w:hAnsi="Times New Roman" w:cs="Times New Roman" w:hint="default"/>
        <w:b w:val="0"/>
        <w:color w:val="auto"/>
        <w:sz w:val="22"/>
      </w:rPr>
    </w:lvl>
    <w:lvl w:ilvl="1" w:tplc="C6C4D034">
      <w:start w:val="1"/>
      <w:numFmt w:val="decimal"/>
      <w:pStyle w:val="Numberedlist"/>
      <w:lvlText w:val="%2."/>
      <w:lvlJc w:val="left"/>
      <w:pPr>
        <w:ind w:left="1440" w:hanging="360"/>
      </w:pPr>
      <w:rPr>
        <w:rFonts w:ascii="Times New Roman" w:hAnsi="Times New Roman" w:cs="Times New Roman" w:hint="default"/>
        <w:b w:val="0"/>
        <w:color w:val="auto"/>
        <w:sz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CB79F4"/>
    <w:multiLevelType w:val="multilevel"/>
    <w:tmpl w:val="EE388644"/>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decimal"/>
      <w:lvlText w:val="%3."/>
      <w:lvlJc w:val="left"/>
      <w:pPr>
        <w:tabs>
          <w:tab w:val="num" w:pos="1440"/>
        </w:tabs>
        <w:ind w:left="1440" w:hanging="360"/>
      </w:pPr>
      <w:rPr>
        <w:i w:val="0"/>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500994"/>
    <w:multiLevelType w:val="hybridMultilevel"/>
    <w:tmpl w:val="6D62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418F6"/>
    <w:multiLevelType w:val="hybridMultilevel"/>
    <w:tmpl w:val="43322264"/>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B0775F"/>
    <w:multiLevelType w:val="hybridMultilevel"/>
    <w:tmpl w:val="9360329A"/>
    <w:lvl w:ilvl="0" w:tplc="1BF04E0A">
      <w:numFmt w:val="bullet"/>
      <w:lvlText w:val=""/>
      <w:lvlJc w:val="left"/>
      <w:pPr>
        <w:ind w:left="801" w:hanging="360"/>
      </w:pPr>
      <w:rPr>
        <w:rFonts w:ascii="Wingdings" w:eastAsiaTheme="minorHAnsi" w:hAnsi="Wingdings" w:cstheme="minorBidi"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21" w15:restartNumberingAfterBreak="0">
    <w:nsid w:val="477C1B3A"/>
    <w:multiLevelType w:val="hybridMultilevel"/>
    <w:tmpl w:val="540268FE"/>
    <w:lvl w:ilvl="0" w:tplc="340292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E35D61"/>
    <w:multiLevelType w:val="hybridMultilevel"/>
    <w:tmpl w:val="35A0A48A"/>
    <w:lvl w:ilvl="0" w:tplc="1BF04E0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F524BD"/>
    <w:multiLevelType w:val="hybridMultilevel"/>
    <w:tmpl w:val="AE7EB1E4"/>
    <w:lvl w:ilvl="0" w:tplc="E3F81E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123A4"/>
    <w:multiLevelType w:val="hybridMultilevel"/>
    <w:tmpl w:val="92BEF408"/>
    <w:lvl w:ilvl="0" w:tplc="98E05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D2FEC"/>
    <w:multiLevelType w:val="hybridMultilevel"/>
    <w:tmpl w:val="5B924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9F0953"/>
    <w:multiLevelType w:val="hybridMultilevel"/>
    <w:tmpl w:val="43322264"/>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0442B4"/>
    <w:multiLevelType w:val="multilevel"/>
    <w:tmpl w:val="DC96F332"/>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F565FBF"/>
    <w:multiLevelType w:val="hybridMultilevel"/>
    <w:tmpl w:val="E0B288A6"/>
    <w:lvl w:ilvl="0" w:tplc="1BF04E0A">
      <w:numFmt w:val="bullet"/>
      <w:lvlText w:val=""/>
      <w:lvlJc w:val="left"/>
      <w:pPr>
        <w:ind w:left="771" w:hanging="360"/>
      </w:pPr>
      <w:rPr>
        <w:rFonts w:ascii="Wingdings" w:eastAsiaTheme="minorHAnsi" w:hAnsi="Wingdings" w:cstheme="minorBidi"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9" w15:restartNumberingAfterBreak="0">
    <w:nsid w:val="5057693B"/>
    <w:multiLevelType w:val="hybridMultilevel"/>
    <w:tmpl w:val="6256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136476"/>
    <w:multiLevelType w:val="hybridMultilevel"/>
    <w:tmpl w:val="0136C27E"/>
    <w:lvl w:ilvl="0" w:tplc="628E5C8C">
      <w:start w:val="1"/>
      <w:numFmt w:val="upperLetter"/>
      <w:lvlText w:val="%1."/>
      <w:lvlJc w:val="left"/>
      <w:pPr>
        <w:ind w:left="720" w:hanging="360"/>
      </w:pPr>
      <w:rPr>
        <w:rFonts w:hint="default"/>
      </w:rPr>
    </w:lvl>
    <w:lvl w:ilvl="1" w:tplc="66183ED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245FA1"/>
    <w:multiLevelType w:val="multilevel"/>
    <w:tmpl w:val="2312C7D6"/>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ascii="Times New Roman" w:eastAsia="Times New Roman" w:hAnsi="Times New Roman" w:cs="Times New Roman"/>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67D3A22"/>
    <w:multiLevelType w:val="hybridMultilevel"/>
    <w:tmpl w:val="43322264"/>
    <w:lvl w:ilvl="0" w:tplc="D04C9DEE">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3E0083"/>
    <w:multiLevelType w:val="hybridMultilevel"/>
    <w:tmpl w:val="846E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8638D6"/>
    <w:multiLevelType w:val="hybridMultilevel"/>
    <w:tmpl w:val="43C09F32"/>
    <w:lvl w:ilvl="0" w:tplc="1BF04E0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114B4"/>
    <w:multiLevelType w:val="hybridMultilevel"/>
    <w:tmpl w:val="C4F2F49C"/>
    <w:lvl w:ilvl="0" w:tplc="1BF04E0A">
      <w:numFmt w:val="bullet"/>
      <w:lvlText w:val=""/>
      <w:lvlJc w:val="left"/>
      <w:pPr>
        <w:ind w:left="1521" w:hanging="360"/>
      </w:pPr>
      <w:rPr>
        <w:rFonts w:ascii="Wingdings" w:eastAsiaTheme="minorHAnsi" w:hAnsi="Wingdings" w:cstheme="minorBidi" w:hint="default"/>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36" w15:restartNumberingAfterBreak="0">
    <w:nsid w:val="5E552CA1"/>
    <w:multiLevelType w:val="hybridMultilevel"/>
    <w:tmpl w:val="E03ABE68"/>
    <w:lvl w:ilvl="0" w:tplc="89F28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EE46A3"/>
    <w:multiLevelType w:val="hybridMultilevel"/>
    <w:tmpl w:val="C7FA707C"/>
    <w:lvl w:ilvl="0" w:tplc="BFD03862">
      <w:start w:val="1"/>
      <w:numFmt w:val="decimal"/>
      <w:pStyle w:val="Para1"/>
      <w:lvlText w:val="%1."/>
      <w:lvlJc w:val="left"/>
      <w:pPr>
        <w:ind w:left="1260" w:hanging="360"/>
      </w:pPr>
      <w:rPr>
        <w:b w:val="0"/>
        <w:i w:val="0"/>
        <w:strike w:val="0"/>
        <w:sz w:val="22"/>
      </w:rPr>
    </w:lvl>
    <w:lvl w:ilvl="1" w:tplc="4BFC5A32">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74E7564"/>
    <w:multiLevelType w:val="hybridMultilevel"/>
    <w:tmpl w:val="9F24AED2"/>
    <w:lvl w:ilvl="0" w:tplc="1BF04E0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41388C"/>
    <w:multiLevelType w:val="hybridMultilevel"/>
    <w:tmpl w:val="1110F02A"/>
    <w:lvl w:ilvl="0" w:tplc="1BF04E0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C3696"/>
    <w:multiLevelType w:val="hybridMultilevel"/>
    <w:tmpl w:val="AE383586"/>
    <w:lvl w:ilvl="0" w:tplc="E73EFB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FC5AE0"/>
    <w:multiLevelType w:val="hybridMultilevel"/>
    <w:tmpl w:val="2F18F99C"/>
    <w:lvl w:ilvl="0" w:tplc="1BF04E0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9"/>
  </w:num>
  <w:num w:numId="4">
    <w:abstractNumId w:val="11"/>
  </w:num>
  <w:num w:numId="5">
    <w:abstractNumId w:val="36"/>
  </w:num>
  <w:num w:numId="6">
    <w:abstractNumId w:val="24"/>
  </w:num>
  <w:num w:numId="7">
    <w:abstractNumId w:val="0"/>
  </w:num>
  <w:num w:numId="8">
    <w:abstractNumId w:val="14"/>
  </w:num>
  <w:num w:numId="9">
    <w:abstractNumId w:val="40"/>
  </w:num>
  <w:num w:numId="10">
    <w:abstractNumId w:val="2"/>
  </w:num>
  <w:num w:numId="11">
    <w:abstractNumId w:val="12"/>
  </w:num>
  <w:num w:numId="12">
    <w:abstractNumId w:val="37"/>
  </w:num>
  <w:num w:numId="13">
    <w:abstractNumId w:val="6"/>
  </w:num>
  <w:num w:numId="14">
    <w:abstractNumId w:val="18"/>
  </w:num>
  <w:num w:numId="15">
    <w:abstractNumId w:val="29"/>
  </w:num>
  <w:num w:numId="16">
    <w:abstractNumId w:val="4"/>
  </w:num>
  <w:num w:numId="17">
    <w:abstractNumId w:val="16"/>
  </w:num>
  <w:num w:numId="18">
    <w:abstractNumId w:val="32"/>
  </w:num>
  <w:num w:numId="19">
    <w:abstractNumId w:val="7"/>
  </w:num>
  <w:num w:numId="20">
    <w:abstractNumId w:val="13"/>
  </w:num>
  <w:num w:numId="21">
    <w:abstractNumId w:val="8"/>
  </w:num>
  <w:num w:numId="22">
    <w:abstractNumId w:val="34"/>
  </w:num>
  <w:num w:numId="23">
    <w:abstractNumId w:val="41"/>
  </w:num>
  <w:num w:numId="24">
    <w:abstractNumId w:val="30"/>
  </w:num>
  <w:num w:numId="25">
    <w:abstractNumId w:val="30"/>
    <w:lvlOverride w:ilvl="0">
      <w:startOverride w:val="1"/>
    </w:lvlOverride>
  </w:num>
  <w:num w:numId="26">
    <w:abstractNumId w:val="39"/>
  </w:num>
  <w:num w:numId="27">
    <w:abstractNumId w:val="35"/>
  </w:num>
  <w:num w:numId="28">
    <w:abstractNumId w:val="26"/>
  </w:num>
  <w:num w:numId="29">
    <w:abstractNumId w:val="19"/>
  </w:num>
  <w:num w:numId="30">
    <w:abstractNumId w:val="27"/>
  </w:num>
  <w:num w:numId="31">
    <w:abstractNumId w:val="20"/>
  </w:num>
  <w:num w:numId="32">
    <w:abstractNumId w:val="28"/>
  </w:num>
  <w:num w:numId="33">
    <w:abstractNumId w:val="38"/>
  </w:num>
  <w:num w:numId="34">
    <w:abstractNumId w:val="22"/>
  </w:num>
  <w:num w:numId="35">
    <w:abstractNumId w:val="10"/>
  </w:num>
  <w:num w:numId="36">
    <w:abstractNumId w:val="33"/>
  </w:num>
  <w:num w:numId="37">
    <w:abstractNumId w:val="31"/>
  </w:num>
  <w:num w:numId="38">
    <w:abstractNumId w:val="17"/>
  </w:num>
  <w:num w:numId="39">
    <w:abstractNumId w:val="3"/>
  </w:num>
  <w:num w:numId="40">
    <w:abstractNumId w:val="21"/>
  </w:num>
  <w:num w:numId="41">
    <w:abstractNumId w:val="23"/>
  </w:num>
  <w:num w:numId="42">
    <w:abstractNumId w:val="5"/>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91F"/>
    <w:rsid w:val="0001580C"/>
    <w:rsid w:val="0002331D"/>
    <w:rsid w:val="00055395"/>
    <w:rsid w:val="0005560A"/>
    <w:rsid w:val="000643DF"/>
    <w:rsid w:val="000916F4"/>
    <w:rsid w:val="0009484D"/>
    <w:rsid w:val="000B7E46"/>
    <w:rsid w:val="000C2A97"/>
    <w:rsid w:val="000C6E9A"/>
    <w:rsid w:val="000D7A87"/>
    <w:rsid w:val="000E408B"/>
    <w:rsid w:val="001145E5"/>
    <w:rsid w:val="00126E41"/>
    <w:rsid w:val="00133015"/>
    <w:rsid w:val="00165FB8"/>
    <w:rsid w:val="00170B85"/>
    <w:rsid w:val="001730C6"/>
    <w:rsid w:val="00176620"/>
    <w:rsid w:val="00176884"/>
    <w:rsid w:val="00194023"/>
    <w:rsid w:val="001C321B"/>
    <w:rsid w:val="001D2BEB"/>
    <w:rsid w:val="001D39AC"/>
    <w:rsid w:val="001D4CAF"/>
    <w:rsid w:val="001E1A80"/>
    <w:rsid w:val="00223374"/>
    <w:rsid w:val="00227783"/>
    <w:rsid w:val="002329A2"/>
    <w:rsid w:val="0023787F"/>
    <w:rsid w:val="002443BE"/>
    <w:rsid w:val="00244909"/>
    <w:rsid w:val="00246A68"/>
    <w:rsid w:val="00250215"/>
    <w:rsid w:val="00257E6B"/>
    <w:rsid w:val="002600E4"/>
    <w:rsid w:val="00261733"/>
    <w:rsid w:val="00265E6E"/>
    <w:rsid w:val="0026732F"/>
    <w:rsid w:val="002769A4"/>
    <w:rsid w:val="00296CCB"/>
    <w:rsid w:val="002C683A"/>
    <w:rsid w:val="002D3DBC"/>
    <w:rsid w:val="002D7A8B"/>
    <w:rsid w:val="002D7D5C"/>
    <w:rsid w:val="002E63C0"/>
    <w:rsid w:val="002F4691"/>
    <w:rsid w:val="003036EA"/>
    <w:rsid w:val="00304612"/>
    <w:rsid w:val="00311759"/>
    <w:rsid w:val="00315782"/>
    <w:rsid w:val="003162E6"/>
    <w:rsid w:val="003251BD"/>
    <w:rsid w:val="00325C0A"/>
    <w:rsid w:val="0032798D"/>
    <w:rsid w:val="003505C7"/>
    <w:rsid w:val="00355117"/>
    <w:rsid w:val="00365A9E"/>
    <w:rsid w:val="00375CD5"/>
    <w:rsid w:val="003769D8"/>
    <w:rsid w:val="003778D3"/>
    <w:rsid w:val="00391343"/>
    <w:rsid w:val="00396A4C"/>
    <w:rsid w:val="003A2362"/>
    <w:rsid w:val="003A242A"/>
    <w:rsid w:val="003A36A2"/>
    <w:rsid w:val="003B051C"/>
    <w:rsid w:val="003B4249"/>
    <w:rsid w:val="003C15F0"/>
    <w:rsid w:val="003D6DB3"/>
    <w:rsid w:val="003E6344"/>
    <w:rsid w:val="003F11C4"/>
    <w:rsid w:val="00405893"/>
    <w:rsid w:val="00415E00"/>
    <w:rsid w:val="004174C0"/>
    <w:rsid w:val="00420DB5"/>
    <w:rsid w:val="00423F55"/>
    <w:rsid w:val="00424E1F"/>
    <w:rsid w:val="00432132"/>
    <w:rsid w:val="00432F5D"/>
    <w:rsid w:val="0043328A"/>
    <w:rsid w:val="00436484"/>
    <w:rsid w:val="00442670"/>
    <w:rsid w:val="00445829"/>
    <w:rsid w:val="00453A4A"/>
    <w:rsid w:val="00454A2F"/>
    <w:rsid w:val="0045669D"/>
    <w:rsid w:val="0046278C"/>
    <w:rsid w:val="004638D4"/>
    <w:rsid w:val="004967B6"/>
    <w:rsid w:val="00497BAB"/>
    <w:rsid w:val="004A408A"/>
    <w:rsid w:val="004C02FE"/>
    <w:rsid w:val="004C200D"/>
    <w:rsid w:val="004C294A"/>
    <w:rsid w:val="004D04E7"/>
    <w:rsid w:val="004D095F"/>
    <w:rsid w:val="004D7F5F"/>
    <w:rsid w:val="004E0B5C"/>
    <w:rsid w:val="004E5AE8"/>
    <w:rsid w:val="005018D1"/>
    <w:rsid w:val="00521865"/>
    <w:rsid w:val="0053405D"/>
    <w:rsid w:val="00552EE7"/>
    <w:rsid w:val="00593B49"/>
    <w:rsid w:val="00595143"/>
    <w:rsid w:val="005B691F"/>
    <w:rsid w:val="005F618B"/>
    <w:rsid w:val="005F7F1D"/>
    <w:rsid w:val="00612997"/>
    <w:rsid w:val="00613C41"/>
    <w:rsid w:val="0061689D"/>
    <w:rsid w:val="0066491B"/>
    <w:rsid w:val="006650F4"/>
    <w:rsid w:val="00672D94"/>
    <w:rsid w:val="00677815"/>
    <w:rsid w:val="006854A3"/>
    <w:rsid w:val="006855DB"/>
    <w:rsid w:val="006A2F51"/>
    <w:rsid w:val="006B5F2F"/>
    <w:rsid w:val="006B745E"/>
    <w:rsid w:val="006C0EBD"/>
    <w:rsid w:val="006D0B8F"/>
    <w:rsid w:val="006D7072"/>
    <w:rsid w:val="006F5C29"/>
    <w:rsid w:val="006F6A02"/>
    <w:rsid w:val="007111BE"/>
    <w:rsid w:val="00725C62"/>
    <w:rsid w:val="00725D9C"/>
    <w:rsid w:val="00734B9C"/>
    <w:rsid w:val="00734BB0"/>
    <w:rsid w:val="007440B1"/>
    <w:rsid w:val="007459A7"/>
    <w:rsid w:val="0075024D"/>
    <w:rsid w:val="00752A9C"/>
    <w:rsid w:val="0076052B"/>
    <w:rsid w:val="007728C6"/>
    <w:rsid w:val="0078456C"/>
    <w:rsid w:val="007851F7"/>
    <w:rsid w:val="00793060"/>
    <w:rsid w:val="007B25C9"/>
    <w:rsid w:val="007D2AE8"/>
    <w:rsid w:val="007E6A63"/>
    <w:rsid w:val="007F4191"/>
    <w:rsid w:val="007F44E2"/>
    <w:rsid w:val="007F5F06"/>
    <w:rsid w:val="007F76EC"/>
    <w:rsid w:val="007F77FF"/>
    <w:rsid w:val="008057AC"/>
    <w:rsid w:val="00807631"/>
    <w:rsid w:val="00823F56"/>
    <w:rsid w:val="00826E71"/>
    <w:rsid w:val="00836F71"/>
    <w:rsid w:val="0084387F"/>
    <w:rsid w:val="008472F2"/>
    <w:rsid w:val="00854463"/>
    <w:rsid w:val="00860A75"/>
    <w:rsid w:val="00863C15"/>
    <w:rsid w:val="0087671B"/>
    <w:rsid w:val="008771F4"/>
    <w:rsid w:val="00895F48"/>
    <w:rsid w:val="0089654D"/>
    <w:rsid w:val="00897687"/>
    <w:rsid w:val="0089793A"/>
    <w:rsid w:val="008D26A2"/>
    <w:rsid w:val="008D76DA"/>
    <w:rsid w:val="008E2528"/>
    <w:rsid w:val="008E53D6"/>
    <w:rsid w:val="008F02B9"/>
    <w:rsid w:val="008F76C8"/>
    <w:rsid w:val="00904BBF"/>
    <w:rsid w:val="00905500"/>
    <w:rsid w:val="00914AE4"/>
    <w:rsid w:val="009236C9"/>
    <w:rsid w:val="00933494"/>
    <w:rsid w:val="00933F34"/>
    <w:rsid w:val="0093699C"/>
    <w:rsid w:val="00937941"/>
    <w:rsid w:val="0094034C"/>
    <w:rsid w:val="00941152"/>
    <w:rsid w:val="00943887"/>
    <w:rsid w:val="00943F4D"/>
    <w:rsid w:val="00944605"/>
    <w:rsid w:val="009765D9"/>
    <w:rsid w:val="009A1A1C"/>
    <w:rsid w:val="009B55E5"/>
    <w:rsid w:val="009C06B7"/>
    <w:rsid w:val="009D2F87"/>
    <w:rsid w:val="009D5B0B"/>
    <w:rsid w:val="009E2C6B"/>
    <w:rsid w:val="009F7D92"/>
    <w:rsid w:val="00A101BD"/>
    <w:rsid w:val="00A121F6"/>
    <w:rsid w:val="00A21AA1"/>
    <w:rsid w:val="00A43AFB"/>
    <w:rsid w:val="00A457BC"/>
    <w:rsid w:val="00A52D46"/>
    <w:rsid w:val="00A70F76"/>
    <w:rsid w:val="00A7235E"/>
    <w:rsid w:val="00A86504"/>
    <w:rsid w:val="00A90AFD"/>
    <w:rsid w:val="00A90B75"/>
    <w:rsid w:val="00AA0412"/>
    <w:rsid w:val="00AA0C2C"/>
    <w:rsid w:val="00AA30FF"/>
    <w:rsid w:val="00AA556C"/>
    <w:rsid w:val="00AC2A9F"/>
    <w:rsid w:val="00AC3245"/>
    <w:rsid w:val="00AD0CAA"/>
    <w:rsid w:val="00AD46C8"/>
    <w:rsid w:val="00AF3090"/>
    <w:rsid w:val="00AF4067"/>
    <w:rsid w:val="00B17805"/>
    <w:rsid w:val="00B25FAE"/>
    <w:rsid w:val="00B27ADB"/>
    <w:rsid w:val="00B54406"/>
    <w:rsid w:val="00B5631F"/>
    <w:rsid w:val="00B643B2"/>
    <w:rsid w:val="00B6459F"/>
    <w:rsid w:val="00B710BE"/>
    <w:rsid w:val="00B73D68"/>
    <w:rsid w:val="00B92A4D"/>
    <w:rsid w:val="00B95464"/>
    <w:rsid w:val="00BA3090"/>
    <w:rsid w:val="00BA3097"/>
    <w:rsid w:val="00BA59C1"/>
    <w:rsid w:val="00BB1E2D"/>
    <w:rsid w:val="00BB2E23"/>
    <w:rsid w:val="00BB5EB7"/>
    <w:rsid w:val="00BD2F25"/>
    <w:rsid w:val="00BE0236"/>
    <w:rsid w:val="00BF5B2F"/>
    <w:rsid w:val="00BF6C55"/>
    <w:rsid w:val="00BF6D69"/>
    <w:rsid w:val="00BF7F26"/>
    <w:rsid w:val="00C0007E"/>
    <w:rsid w:val="00C052A6"/>
    <w:rsid w:val="00C06A4A"/>
    <w:rsid w:val="00C072E4"/>
    <w:rsid w:val="00C244B3"/>
    <w:rsid w:val="00C32045"/>
    <w:rsid w:val="00C3260C"/>
    <w:rsid w:val="00C35C02"/>
    <w:rsid w:val="00C51D01"/>
    <w:rsid w:val="00C65203"/>
    <w:rsid w:val="00C67DAC"/>
    <w:rsid w:val="00C67F8C"/>
    <w:rsid w:val="00C75135"/>
    <w:rsid w:val="00C83624"/>
    <w:rsid w:val="00C92174"/>
    <w:rsid w:val="00CA3AF3"/>
    <w:rsid w:val="00CA4BA2"/>
    <w:rsid w:val="00CC1B52"/>
    <w:rsid w:val="00CC621B"/>
    <w:rsid w:val="00CE0CA5"/>
    <w:rsid w:val="00CF6720"/>
    <w:rsid w:val="00D1044E"/>
    <w:rsid w:val="00D10915"/>
    <w:rsid w:val="00D208C6"/>
    <w:rsid w:val="00D22539"/>
    <w:rsid w:val="00D30972"/>
    <w:rsid w:val="00D355D1"/>
    <w:rsid w:val="00D359DB"/>
    <w:rsid w:val="00D43CE6"/>
    <w:rsid w:val="00D478C2"/>
    <w:rsid w:val="00D50C4A"/>
    <w:rsid w:val="00D529A4"/>
    <w:rsid w:val="00D558D5"/>
    <w:rsid w:val="00D565D6"/>
    <w:rsid w:val="00D80699"/>
    <w:rsid w:val="00D8259E"/>
    <w:rsid w:val="00D9128F"/>
    <w:rsid w:val="00D96175"/>
    <w:rsid w:val="00DA05B0"/>
    <w:rsid w:val="00DA56AD"/>
    <w:rsid w:val="00DB3A56"/>
    <w:rsid w:val="00DD62EF"/>
    <w:rsid w:val="00DD6360"/>
    <w:rsid w:val="00DD715B"/>
    <w:rsid w:val="00DE3E36"/>
    <w:rsid w:val="00DF0437"/>
    <w:rsid w:val="00DF1A8C"/>
    <w:rsid w:val="00E20591"/>
    <w:rsid w:val="00E34FDC"/>
    <w:rsid w:val="00E5037E"/>
    <w:rsid w:val="00E52CE1"/>
    <w:rsid w:val="00E53FB0"/>
    <w:rsid w:val="00E76349"/>
    <w:rsid w:val="00E77504"/>
    <w:rsid w:val="00E800BA"/>
    <w:rsid w:val="00E915C9"/>
    <w:rsid w:val="00E9389A"/>
    <w:rsid w:val="00EB6530"/>
    <w:rsid w:val="00EB6714"/>
    <w:rsid w:val="00EC1909"/>
    <w:rsid w:val="00ED0742"/>
    <w:rsid w:val="00ED601C"/>
    <w:rsid w:val="00EF7780"/>
    <w:rsid w:val="00F01740"/>
    <w:rsid w:val="00F05B49"/>
    <w:rsid w:val="00F10DFD"/>
    <w:rsid w:val="00F12D17"/>
    <w:rsid w:val="00F1415C"/>
    <w:rsid w:val="00F1790C"/>
    <w:rsid w:val="00F32B8A"/>
    <w:rsid w:val="00F362F6"/>
    <w:rsid w:val="00F43183"/>
    <w:rsid w:val="00F51B2A"/>
    <w:rsid w:val="00F84130"/>
    <w:rsid w:val="00F87D86"/>
    <w:rsid w:val="00F93888"/>
    <w:rsid w:val="00F95EE3"/>
    <w:rsid w:val="00F97441"/>
    <w:rsid w:val="00FA1A4C"/>
    <w:rsid w:val="00FA4BEE"/>
    <w:rsid w:val="00FB1879"/>
    <w:rsid w:val="00FB2C39"/>
    <w:rsid w:val="00FB7029"/>
    <w:rsid w:val="00FC6FE0"/>
    <w:rsid w:val="00FD5CEB"/>
    <w:rsid w:val="00FE3D04"/>
    <w:rsid w:val="00FF2ED1"/>
    <w:rsid w:val="00FF50C3"/>
    <w:rsid w:val="00FF6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461FF"/>
  <w15:chartTrackingRefBased/>
  <w15:docId w15:val="{8B295159-42C0-964B-9735-67496220E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60A"/>
    <w:rPr>
      <w:rFonts w:ascii="Times New Roman" w:eastAsia="Times New Roman" w:hAnsi="Times New Roman" w:cs="Times New Roman"/>
    </w:rPr>
  </w:style>
  <w:style w:type="paragraph" w:styleId="Heading1">
    <w:name w:val="heading 1"/>
    <w:basedOn w:val="Normal"/>
    <w:next w:val="Normal"/>
    <w:link w:val="Heading1Char"/>
    <w:uiPriority w:val="9"/>
    <w:qFormat/>
    <w:rsid w:val="00FF2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65F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52EE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2EE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52EE7"/>
    <w:rPr>
      <w:color w:val="0000FF"/>
      <w:u w:val="single"/>
    </w:rPr>
  </w:style>
  <w:style w:type="character" w:styleId="Strong">
    <w:name w:val="Strong"/>
    <w:basedOn w:val="DefaultParagraphFont"/>
    <w:uiPriority w:val="22"/>
    <w:qFormat/>
    <w:rsid w:val="00FE3D04"/>
    <w:rPr>
      <w:b/>
      <w:bCs/>
    </w:rPr>
  </w:style>
  <w:style w:type="paragraph" w:styleId="ListParagraph">
    <w:name w:val="List Paragraph"/>
    <w:basedOn w:val="Normal"/>
    <w:uiPriority w:val="34"/>
    <w:qFormat/>
    <w:rsid w:val="003E6344"/>
    <w:pPr>
      <w:ind w:left="720"/>
      <w:contextualSpacing/>
    </w:pPr>
    <w:rPr>
      <w:rFonts w:asciiTheme="minorHAnsi" w:eastAsiaTheme="minorHAnsi" w:hAnsiTheme="minorHAnsi" w:cstheme="minorBidi"/>
    </w:rPr>
  </w:style>
  <w:style w:type="table" w:styleId="TableGrid">
    <w:name w:val="Table Grid"/>
    <w:basedOn w:val="TableNormal"/>
    <w:uiPriority w:val="39"/>
    <w:rsid w:val="003E6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0699"/>
    <w:pPr>
      <w:spacing w:before="100" w:beforeAutospacing="1" w:after="100" w:afterAutospacing="1"/>
    </w:pPr>
  </w:style>
  <w:style w:type="paragraph" w:customStyle="1" w:styleId="Para1">
    <w:name w:val="Para1"/>
    <w:basedOn w:val="Normal"/>
    <w:link w:val="Para1Char"/>
    <w:uiPriority w:val="99"/>
    <w:rsid w:val="00B5631F"/>
    <w:pPr>
      <w:numPr>
        <w:numId w:val="12"/>
      </w:numPr>
      <w:suppressLineNumbers/>
      <w:tabs>
        <w:tab w:val="num" w:pos="720"/>
      </w:tabs>
      <w:suppressAutoHyphens/>
      <w:kinsoku w:val="0"/>
      <w:overflowPunct w:val="0"/>
      <w:autoSpaceDE w:val="0"/>
      <w:autoSpaceDN w:val="0"/>
      <w:spacing w:after="120"/>
      <w:ind w:left="0" w:firstLine="0"/>
      <w:jc w:val="both"/>
    </w:pPr>
    <w:rPr>
      <w:snapToGrid w:val="0"/>
      <w:kern w:val="22"/>
      <w:sz w:val="22"/>
      <w:szCs w:val="22"/>
      <w:lang w:val="en-GB"/>
    </w:rPr>
  </w:style>
  <w:style w:type="character" w:customStyle="1" w:styleId="Para1Char">
    <w:name w:val="Para1 Char"/>
    <w:link w:val="Para1"/>
    <w:uiPriority w:val="99"/>
    <w:locked/>
    <w:rsid w:val="00B5631F"/>
    <w:rPr>
      <w:rFonts w:ascii="Times New Roman" w:eastAsia="Times New Roman" w:hAnsi="Times New Roman" w:cs="Times New Roman"/>
      <w:snapToGrid w:val="0"/>
      <w:kern w:val="22"/>
      <w:sz w:val="22"/>
      <w:szCs w:val="22"/>
      <w:lang w:val="en-GB"/>
    </w:rPr>
  </w:style>
  <w:style w:type="paragraph" w:styleId="Header">
    <w:name w:val="header"/>
    <w:basedOn w:val="Normal"/>
    <w:link w:val="HeaderChar"/>
    <w:uiPriority w:val="99"/>
    <w:unhideWhenUsed/>
    <w:rsid w:val="001730C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730C6"/>
  </w:style>
  <w:style w:type="paragraph" w:styleId="Footer">
    <w:name w:val="footer"/>
    <w:basedOn w:val="Normal"/>
    <w:link w:val="FooterChar"/>
    <w:uiPriority w:val="99"/>
    <w:unhideWhenUsed/>
    <w:rsid w:val="001730C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730C6"/>
  </w:style>
  <w:style w:type="character" w:customStyle="1" w:styleId="Heading2Char">
    <w:name w:val="Heading 2 Char"/>
    <w:basedOn w:val="DefaultParagraphFont"/>
    <w:link w:val="Heading2"/>
    <w:uiPriority w:val="9"/>
    <w:semiHidden/>
    <w:rsid w:val="00165FB8"/>
    <w:rPr>
      <w:rFonts w:asciiTheme="majorHAnsi" w:eastAsiaTheme="majorEastAsia" w:hAnsiTheme="majorHAnsi" w:cstheme="majorBidi"/>
      <w:color w:val="2F5496" w:themeColor="accent1" w:themeShade="BF"/>
      <w:sz w:val="26"/>
      <w:szCs w:val="26"/>
    </w:rPr>
  </w:style>
  <w:style w:type="paragraph" w:customStyle="1" w:styleId="Numberedlist">
    <w:name w:val="Numbered list"/>
    <w:basedOn w:val="Normal"/>
    <w:qFormat/>
    <w:rsid w:val="00BF6D69"/>
    <w:pPr>
      <w:numPr>
        <w:ilvl w:val="1"/>
        <w:numId w:val="17"/>
      </w:numPr>
      <w:tabs>
        <w:tab w:val="left" w:pos="6521"/>
      </w:tabs>
      <w:spacing w:after="120"/>
      <w:ind w:left="2268" w:hanging="567"/>
    </w:pPr>
    <w:rPr>
      <w:sz w:val="22"/>
      <w:szCs w:val="22"/>
      <w:lang w:val="en-CA"/>
    </w:rPr>
  </w:style>
  <w:style w:type="character" w:customStyle="1" w:styleId="Heading1Char">
    <w:name w:val="Heading 1 Char"/>
    <w:basedOn w:val="DefaultParagraphFont"/>
    <w:link w:val="Heading1"/>
    <w:uiPriority w:val="9"/>
    <w:rsid w:val="00FF2ED1"/>
    <w:rPr>
      <w:rFonts w:asciiTheme="majorHAnsi" w:eastAsiaTheme="majorEastAsia" w:hAnsiTheme="majorHAnsi" w:cstheme="majorBidi"/>
      <w:color w:val="2F5496" w:themeColor="accent1" w:themeShade="BF"/>
      <w:sz w:val="32"/>
      <w:szCs w:val="32"/>
    </w:rPr>
  </w:style>
  <w:style w:type="paragraph" w:customStyle="1" w:styleId="Heading1longmultiline">
    <w:name w:val="Heading 1 (long multiline)"/>
    <w:basedOn w:val="Heading1"/>
    <w:link w:val="Heading1longmultilineChar"/>
    <w:rsid w:val="00365A9E"/>
    <w:pPr>
      <w:keepLines w:val="0"/>
      <w:suppressLineNumbers/>
      <w:tabs>
        <w:tab w:val="left" w:pos="1985"/>
      </w:tabs>
      <w:suppressAutoHyphens/>
      <w:kinsoku w:val="0"/>
      <w:overflowPunct w:val="0"/>
      <w:autoSpaceDE w:val="0"/>
      <w:autoSpaceDN w:val="0"/>
      <w:spacing w:before="120" w:after="120"/>
      <w:ind w:left="1985" w:right="855" w:hanging="992"/>
    </w:pPr>
    <w:rPr>
      <w:rFonts w:ascii="Times New Roman Bold" w:eastAsia="Malgun Gothic" w:hAnsi="Times New Roman Bold" w:cs="Times New Roman Bold"/>
      <w:b/>
      <w:caps/>
      <w:snapToGrid w:val="0"/>
      <w:color w:val="auto"/>
      <w:kern w:val="22"/>
      <w:sz w:val="22"/>
      <w:szCs w:val="22"/>
      <w:lang w:val="en-GB"/>
    </w:rPr>
  </w:style>
  <w:style w:type="character" w:customStyle="1" w:styleId="Heading1longmultilineChar">
    <w:name w:val="Heading 1 (long multiline) Char"/>
    <w:link w:val="Heading1longmultiline"/>
    <w:rsid w:val="00365A9E"/>
    <w:rPr>
      <w:rFonts w:ascii="Times New Roman Bold" w:eastAsia="Malgun Gothic" w:hAnsi="Times New Roman Bold" w:cs="Times New Roman Bold"/>
      <w:b/>
      <w:caps/>
      <w:snapToGrid w:val="0"/>
      <w:kern w:val="22"/>
      <w:sz w:val="22"/>
      <w:szCs w:val="22"/>
      <w:lang w:val="en-GB"/>
    </w:rPr>
  </w:style>
  <w:style w:type="paragraph" w:customStyle="1" w:styleId="Para3">
    <w:name w:val="Para3"/>
    <w:basedOn w:val="Normal"/>
    <w:rsid w:val="005018D1"/>
    <w:pPr>
      <w:tabs>
        <w:tab w:val="num" w:pos="360"/>
        <w:tab w:val="left" w:pos="1980"/>
      </w:tabs>
      <w:spacing w:before="80" w:after="80"/>
      <w:jc w:val="both"/>
    </w:pPr>
    <w:rPr>
      <w:sz w:val="22"/>
      <w:szCs w:val="20"/>
      <w:lang w:val="en-GB"/>
    </w:rPr>
  </w:style>
  <w:style w:type="character" w:styleId="PlaceholderText">
    <w:name w:val="Placeholder Text"/>
    <w:basedOn w:val="DefaultParagraphFont"/>
    <w:uiPriority w:val="99"/>
    <w:rsid w:val="000C6E9A"/>
    <w:rPr>
      <w:color w:val="808080"/>
    </w:rPr>
  </w:style>
  <w:style w:type="paragraph" w:styleId="TOCHeading">
    <w:name w:val="TOC Heading"/>
    <w:basedOn w:val="Heading1"/>
    <w:next w:val="Normal"/>
    <w:uiPriority w:val="39"/>
    <w:unhideWhenUsed/>
    <w:qFormat/>
    <w:rsid w:val="00F93888"/>
    <w:pPr>
      <w:spacing w:line="259" w:lineRule="auto"/>
      <w:outlineLvl w:val="9"/>
    </w:pPr>
  </w:style>
  <w:style w:type="paragraph" w:styleId="TOC1">
    <w:name w:val="toc 1"/>
    <w:basedOn w:val="Normal"/>
    <w:next w:val="Normal"/>
    <w:autoRedefine/>
    <w:uiPriority w:val="39"/>
    <w:unhideWhenUsed/>
    <w:rsid w:val="00F93888"/>
    <w:pPr>
      <w:spacing w:after="100"/>
    </w:pPr>
  </w:style>
  <w:style w:type="paragraph" w:styleId="TOC2">
    <w:name w:val="toc 2"/>
    <w:basedOn w:val="Normal"/>
    <w:next w:val="Normal"/>
    <w:autoRedefine/>
    <w:uiPriority w:val="39"/>
    <w:unhideWhenUsed/>
    <w:rsid w:val="00F9388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00517">
      <w:bodyDiv w:val="1"/>
      <w:marLeft w:val="0"/>
      <w:marRight w:val="0"/>
      <w:marTop w:val="0"/>
      <w:marBottom w:val="0"/>
      <w:divBdr>
        <w:top w:val="none" w:sz="0" w:space="0" w:color="auto"/>
        <w:left w:val="none" w:sz="0" w:space="0" w:color="auto"/>
        <w:bottom w:val="none" w:sz="0" w:space="0" w:color="auto"/>
        <w:right w:val="none" w:sz="0" w:space="0" w:color="auto"/>
      </w:divBdr>
    </w:div>
    <w:div w:id="141655347">
      <w:bodyDiv w:val="1"/>
      <w:marLeft w:val="0"/>
      <w:marRight w:val="0"/>
      <w:marTop w:val="0"/>
      <w:marBottom w:val="0"/>
      <w:divBdr>
        <w:top w:val="none" w:sz="0" w:space="0" w:color="auto"/>
        <w:left w:val="none" w:sz="0" w:space="0" w:color="auto"/>
        <w:bottom w:val="none" w:sz="0" w:space="0" w:color="auto"/>
        <w:right w:val="none" w:sz="0" w:space="0" w:color="auto"/>
      </w:divBdr>
      <w:divsChild>
        <w:div w:id="1140462687">
          <w:marLeft w:val="0"/>
          <w:marRight w:val="0"/>
          <w:marTop w:val="0"/>
          <w:marBottom w:val="0"/>
          <w:divBdr>
            <w:top w:val="none" w:sz="0" w:space="0" w:color="auto"/>
            <w:left w:val="none" w:sz="0" w:space="0" w:color="auto"/>
            <w:bottom w:val="none" w:sz="0" w:space="0" w:color="auto"/>
            <w:right w:val="none" w:sz="0" w:space="0" w:color="auto"/>
          </w:divBdr>
          <w:divsChild>
            <w:div w:id="1057780012">
              <w:marLeft w:val="0"/>
              <w:marRight w:val="0"/>
              <w:marTop w:val="0"/>
              <w:marBottom w:val="0"/>
              <w:divBdr>
                <w:top w:val="none" w:sz="0" w:space="0" w:color="auto"/>
                <w:left w:val="none" w:sz="0" w:space="0" w:color="auto"/>
                <w:bottom w:val="none" w:sz="0" w:space="0" w:color="auto"/>
                <w:right w:val="none" w:sz="0" w:space="0" w:color="auto"/>
              </w:divBdr>
              <w:divsChild>
                <w:div w:id="992752782">
                  <w:marLeft w:val="0"/>
                  <w:marRight w:val="0"/>
                  <w:marTop w:val="0"/>
                  <w:marBottom w:val="0"/>
                  <w:divBdr>
                    <w:top w:val="none" w:sz="0" w:space="0" w:color="auto"/>
                    <w:left w:val="none" w:sz="0" w:space="0" w:color="auto"/>
                    <w:bottom w:val="none" w:sz="0" w:space="0" w:color="auto"/>
                    <w:right w:val="none" w:sz="0" w:space="0" w:color="auto"/>
                  </w:divBdr>
                  <w:divsChild>
                    <w:div w:id="7148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151527">
      <w:bodyDiv w:val="1"/>
      <w:marLeft w:val="0"/>
      <w:marRight w:val="0"/>
      <w:marTop w:val="0"/>
      <w:marBottom w:val="0"/>
      <w:divBdr>
        <w:top w:val="none" w:sz="0" w:space="0" w:color="auto"/>
        <w:left w:val="none" w:sz="0" w:space="0" w:color="auto"/>
        <w:bottom w:val="none" w:sz="0" w:space="0" w:color="auto"/>
        <w:right w:val="none" w:sz="0" w:space="0" w:color="auto"/>
      </w:divBdr>
    </w:div>
    <w:div w:id="664625555">
      <w:bodyDiv w:val="1"/>
      <w:marLeft w:val="0"/>
      <w:marRight w:val="0"/>
      <w:marTop w:val="0"/>
      <w:marBottom w:val="0"/>
      <w:divBdr>
        <w:top w:val="none" w:sz="0" w:space="0" w:color="auto"/>
        <w:left w:val="none" w:sz="0" w:space="0" w:color="auto"/>
        <w:bottom w:val="none" w:sz="0" w:space="0" w:color="auto"/>
        <w:right w:val="none" w:sz="0" w:space="0" w:color="auto"/>
      </w:divBdr>
    </w:div>
    <w:div w:id="718944512">
      <w:bodyDiv w:val="1"/>
      <w:marLeft w:val="0"/>
      <w:marRight w:val="0"/>
      <w:marTop w:val="0"/>
      <w:marBottom w:val="0"/>
      <w:divBdr>
        <w:top w:val="none" w:sz="0" w:space="0" w:color="auto"/>
        <w:left w:val="none" w:sz="0" w:space="0" w:color="auto"/>
        <w:bottom w:val="none" w:sz="0" w:space="0" w:color="auto"/>
        <w:right w:val="none" w:sz="0" w:space="0" w:color="auto"/>
      </w:divBdr>
    </w:div>
    <w:div w:id="761100317">
      <w:bodyDiv w:val="1"/>
      <w:marLeft w:val="0"/>
      <w:marRight w:val="0"/>
      <w:marTop w:val="0"/>
      <w:marBottom w:val="0"/>
      <w:divBdr>
        <w:top w:val="none" w:sz="0" w:space="0" w:color="auto"/>
        <w:left w:val="none" w:sz="0" w:space="0" w:color="auto"/>
        <w:bottom w:val="none" w:sz="0" w:space="0" w:color="auto"/>
        <w:right w:val="none" w:sz="0" w:space="0" w:color="auto"/>
      </w:divBdr>
    </w:div>
    <w:div w:id="1080638384">
      <w:bodyDiv w:val="1"/>
      <w:marLeft w:val="0"/>
      <w:marRight w:val="0"/>
      <w:marTop w:val="0"/>
      <w:marBottom w:val="0"/>
      <w:divBdr>
        <w:top w:val="none" w:sz="0" w:space="0" w:color="auto"/>
        <w:left w:val="none" w:sz="0" w:space="0" w:color="auto"/>
        <w:bottom w:val="none" w:sz="0" w:space="0" w:color="auto"/>
        <w:right w:val="none" w:sz="0" w:space="0" w:color="auto"/>
      </w:divBdr>
    </w:div>
    <w:div w:id="1278676717">
      <w:bodyDiv w:val="1"/>
      <w:marLeft w:val="0"/>
      <w:marRight w:val="0"/>
      <w:marTop w:val="0"/>
      <w:marBottom w:val="0"/>
      <w:divBdr>
        <w:top w:val="none" w:sz="0" w:space="0" w:color="auto"/>
        <w:left w:val="none" w:sz="0" w:space="0" w:color="auto"/>
        <w:bottom w:val="none" w:sz="0" w:space="0" w:color="auto"/>
        <w:right w:val="none" w:sz="0" w:space="0" w:color="auto"/>
      </w:divBdr>
      <w:divsChild>
        <w:div w:id="286815429">
          <w:marLeft w:val="0"/>
          <w:marRight w:val="0"/>
          <w:marTop w:val="0"/>
          <w:marBottom w:val="0"/>
          <w:divBdr>
            <w:top w:val="none" w:sz="0" w:space="0" w:color="auto"/>
            <w:left w:val="none" w:sz="0" w:space="0" w:color="auto"/>
            <w:bottom w:val="none" w:sz="0" w:space="0" w:color="auto"/>
            <w:right w:val="none" w:sz="0" w:space="0" w:color="auto"/>
          </w:divBdr>
          <w:divsChild>
            <w:div w:id="1600484454">
              <w:marLeft w:val="0"/>
              <w:marRight w:val="0"/>
              <w:marTop w:val="0"/>
              <w:marBottom w:val="0"/>
              <w:divBdr>
                <w:top w:val="none" w:sz="0" w:space="0" w:color="auto"/>
                <w:left w:val="none" w:sz="0" w:space="0" w:color="auto"/>
                <w:bottom w:val="none" w:sz="0" w:space="0" w:color="auto"/>
                <w:right w:val="none" w:sz="0" w:space="0" w:color="auto"/>
              </w:divBdr>
              <w:divsChild>
                <w:div w:id="1874265558">
                  <w:marLeft w:val="0"/>
                  <w:marRight w:val="0"/>
                  <w:marTop w:val="0"/>
                  <w:marBottom w:val="0"/>
                  <w:divBdr>
                    <w:top w:val="none" w:sz="0" w:space="0" w:color="auto"/>
                    <w:left w:val="none" w:sz="0" w:space="0" w:color="auto"/>
                    <w:bottom w:val="none" w:sz="0" w:space="0" w:color="auto"/>
                    <w:right w:val="none" w:sz="0" w:space="0" w:color="auto"/>
                  </w:divBdr>
                  <w:divsChild>
                    <w:div w:id="19710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79457">
      <w:bodyDiv w:val="1"/>
      <w:marLeft w:val="0"/>
      <w:marRight w:val="0"/>
      <w:marTop w:val="0"/>
      <w:marBottom w:val="0"/>
      <w:divBdr>
        <w:top w:val="none" w:sz="0" w:space="0" w:color="auto"/>
        <w:left w:val="none" w:sz="0" w:space="0" w:color="auto"/>
        <w:bottom w:val="none" w:sz="0" w:space="0" w:color="auto"/>
        <w:right w:val="none" w:sz="0" w:space="0" w:color="auto"/>
      </w:divBdr>
    </w:div>
    <w:div w:id="1316644803">
      <w:bodyDiv w:val="1"/>
      <w:marLeft w:val="0"/>
      <w:marRight w:val="0"/>
      <w:marTop w:val="0"/>
      <w:marBottom w:val="0"/>
      <w:divBdr>
        <w:top w:val="none" w:sz="0" w:space="0" w:color="auto"/>
        <w:left w:val="none" w:sz="0" w:space="0" w:color="auto"/>
        <w:bottom w:val="none" w:sz="0" w:space="0" w:color="auto"/>
        <w:right w:val="none" w:sz="0" w:space="0" w:color="auto"/>
      </w:divBdr>
      <w:divsChild>
        <w:div w:id="178280333">
          <w:marLeft w:val="0"/>
          <w:marRight w:val="0"/>
          <w:marTop w:val="0"/>
          <w:marBottom w:val="0"/>
          <w:divBdr>
            <w:top w:val="none" w:sz="0" w:space="0" w:color="auto"/>
            <w:left w:val="none" w:sz="0" w:space="0" w:color="auto"/>
            <w:bottom w:val="none" w:sz="0" w:space="0" w:color="auto"/>
            <w:right w:val="none" w:sz="0" w:space="0" w:color="auto"/>
          </w:divBdr>
          <w:divsChild>
            <w:div w:id="1734620984">
              <w:marLeft w:val="0"/>
              <w:marRight w:val="0"/>
              <w:marTop w:val="0"/>
              <w:marBottom w:val="0"/>
              <w:divBdr>
                <w:top w:val="none" w:sz="0" w:space="0" w:color="auto"/>
                <w:left w:val="none" w:sz="0" w:space="0" w:color="auto"/>
                <w:bottom w:val="none" w:sz="0" w:space="0" w:color="auto"/>
                <w:right w:val="none" w:sz="0" w:space="0" w:color="auto"/>
              </w:divBdr>
              <w:divsChild>
                <w:div w:id="55057326">
                  <w:marLeft w:val="0"/>
                  <w:marRight w:val="0"/>
                  <w:marTop w:val="0"/>
                  <w:marBottom w:val="0"/>
                  <w:divBdr>
                    <w:top w:val="none" w:sz="0" w:space="0" w:color="auto"/>
                    <w:left w:val="none" w:sz="0" w:space="0" w:color="auto"/>
                    <w:bottom w:val="none" w:sz="0" w:space="0" w:color="auto"/>
                    <w:right w:val="none" w:sz="0" w:space="0" w:color="auto"/>
                  </w:divBdr>
                  <w:divsChild>
                    <w:div w:id="20174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17355">
      <w:bodyDiv w:val="1"/>
      <w:marLeft w:val="0"/>
      <w:marRight w:val="0"/>
      <w:marTop w:val="0"/>
      <w:marBottom w:val="0"/>
      <w:divBdr>
        <w:top w:val="none" w:sz="0" w:space="0" w:color="auto"/>
        <w:left w:val="none" w:sz="0" w:space="0" w:color="auto"/>
        <w:bottom w:val="none" w:sz="0" w:space="0" w:color="auto"/>
        <w:right w:val="none" w:sz="0" w:space="0" w:color="auto"/>
      </w:divBdr>
    </w:div>
    <w:div w:id="1391609252">
      <w:bodyDiv w:val="1"/>
      <w:marLeft w:val="0"/>
      <w:marRight w:val="0"/>
      <w:marTop w:val="0"/>
      <w:marBottom w:val="0"/>
      <w:divBdr>
        <w:top w:val="none" w:sz="0" w:space="0" w:color="auto"/>
        <w:left w:val="none" w:sz="0" w:space="0" w:color="auto"/>
        <w:bottom w:val="none" w:sz="0" w:space="0" w:color="auto"/>
        <w:right w:val="none" w:sz="0" w:space="0" w:color="auto"/>
      </w:divBdr>
    </w:div>
    <w:div w:id="1557355495">
      <w:bodyDiv w:val="1"/>
      <w:marLeft w:val="0"/>
      <w:marRight w:val="0"/>
      <w:marTop w:val="0"/>
      <w:marBottom w:val="0"/>
      <w:divBdr>
        <w:top w:val="none" w:sz="0" w:space="0" w:color="auto"/>
        <w:left w:val="none" w:sz="0" w:space="0" w:color="auto"/>
        <w:bottom w:val="none" w:sz="0" w:space="0" w:color="auto"/>
        <w:right w:val="none" w:sz="0" w:space="0" w:color="auto"/>
      </w:divBdr>
      <w:divsChild>
        <w:div w:id="1028069874">
          <w:marLeft w:val="0"/>
          <w:marRight w:val="0"/>
          <w:marTop w:val="0"/>
          <w:marBottom w:val="0"/>
          <w:divBdr>
            <w:top w:val="none" w:sz="0" w:space="0" w:color="auto"/>
            <w:left w:val="none" w:sz="0" w:space="0" w:color="auto"/>
            <w:bottom w:val="none" w:sz="0" w:space="0" w:color="auto"/>
            <w:right w:val="none" w:sz="0" w:space="0" w:color="auto"/>
          </w:divBdr>
          <w:divsChild>
            <w:div w:id="873538477">
              <w:marLeft w:val="0"/>
              <w:marRight w:val="0"/>
              <w:marTop w:val="0"/>
              <w:marBottom w:val="0"/>
              <w:divBdr>
                <w:top w:val="none" w:sz="0" w:space="0" w:color="auto"/>
                <w:left w:val="none" w:sz="0" w:space="0" w:color="auto"/>
                <w:bottom w:val="none" w:sz="0" w:space="0" w:color="auto"/>
                <w:right w:val="none" w:sz="0" w:space="0" w:color="auto"/>
              </w:divBdr>
              <w:divsChild>
                <w:div w:id="457723711">
                  <w:marLeft w:val="0"/>
                  <w:marRight w:val="0"/>
                  <w:marTop w:val="0"/>
                  <w:marBottom w:val="0"/>
                  <w:divBdr>
                    <w:top w:val="none" w:sz="0" w:space="0" w:color="auto"/>
                    <w:left w:val="none" w:sz="0" w:space="0" w:color="auto"/>
                    <w:bottom w:val="none" w:sz="0" w:space="0" w:color="auto"/>
                    <w:right w:val="none" w:sz="0" w:space="0" w:color="auto"/>
                  </w:divBdr>
                  <w:divsChild>
                    <w:div w:id="1127506144">
                      <w:marLeft w:val="0"/>
                      <w:marRight w:val="0"/>
                      <w:marTop w:val="0"/>
                      <w:marBottom w:val="0"/>
                      <w:divBdr>
                        <w:top w:val="none" w:sz="0" w:space="0" w:color="auto"/>
                        <w:left w:val="none" w:sz="0" w:space="0" w:color="auto"/>
                        <w:bottom w:val="none" w:sz="0" w:space="0" w:color="auto"/>
                        <w:right w:val="none" w:sz="0" w:space="0" w:color="auto"/>
                      </w:divBdr>
                    </w:div>
                    <w:div w:id="474419201">
                      <w:marLeft w:val="0"/>
                      <w:marRight w:val="0"/>
                      <w:marTop w:val="0"/>
                      <w:marBottom w:val="0"/>
                      <w:divBdr>
                        <w:top w:val="none" w:sz="0" w:space="0" w:color="auto"/>
                        <w:left w:val="none" w:sz="0" w:space="0" w:color="auto"/>
                        <w:bottom w:val="none" w:sz="0" w:space="0" w:color="auto"/>
                        <w:right w:val="none" w:sz="0" w:space="0" w:color="auto"/>
                      </w:divBdr>
                    </w:div>
                    <w:div w:id="277372924">
                      <w:marLeft w:val="0"/>
                      <w:marRight w:val="0"/>
                      <w:marTop w:val="0"/>
                      <w:marBottom w:val="0"/>
                      <w:divBdr>
                        <w:top w:val="none" w:sz="0" w:space="0" w:color="auto"/>
                        <w:left w:val="none" w:sz="0" w:space="0" w:color="auto"/>
                        <w:bottom w:val="none" w:sz="0" w:space="0" w:color="auto"/>
                        <w:right w:val="none" w:sz="0" w:space="0" w:color="auto"/>
                      </w:divBdr>
                    </w:div>
                    <w:div w:id="20776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860802">
      <w:bodyDiv w:val="1"/>
      <w:marLeft w:val="0"/>
      <w:marRight w:val="0"/>
      <w:marTop w:val="0"/>
      <w:marBottom w:val="0"/>
      <w:divBdr>
        <w:top w:val="none" w:sz="0" w:space="0" w:color="auto"/>
        <w:left w:val="none" w:sz="0" w:space="0" w:color="auto"/>
        <w:bottom w:val="none" w:sz="0" w:space="0" w:color="auto"/>
        <w:right w:val="none" w:sz="0" w:space="0" w:color="auto"/>
      </w:divBdr>
    </w:div>
    <w:div w:id="197540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B1DA4-1F6E-41AD-A905-CBF2B5FD1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4945</Words>
  <Characters>28188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account</cp:lastModifiedBy>
  <cp:revision>2</cp:revision>
  <cp:lastPrinted>2025-01-08T12:36:00Z</cp:lastPrinted>
  <dcterms:created xsi:type="dcterms:W3CDTF">2025-01-28T10:12:00Z</dcterms:created>
  <dcterms:modified xsi:type="dcterms:W3CDTF">2025-01-28T10:12:00Z</dcterms:modified>
</cp:coreProperties>
</file>